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SpkAV (Brandenburg) — Allgemeine Vereinigungs- und Übertragungsgrundsätze</w:t>
      </w:r>
    </w:p>
    <w:p>
      <w:r>
        <w:rPr>
          <w:color w:val="555555"/>
          <w:sz w:val="18"/>
        </w:rPr>
        <w:t xml:space="preserve">Sparkassenanpassungsverordnung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Auf die Vereinigung von Sparkassen und die Übertragung</w:t>
      </w:r>
    </w:p>
    <w:p>
      <w:r>
        <w:t xml:space="preserve">von Zweigstellen im Rahmen der Kreisneugliederung sind die allgemeinen</w:t>
      </w:r>
    </w:p>
    <w:p>
      <w:r>
        <w:t xml:space="preserve">Grundsätze des Sparkassengesetzes über die Vereinigung von</w:t>
      </w:r>
    </w:p>
    <w:p>
      <w:r>
        <w:t xml:space="preserve">Sparkassen, insbesondere über die Gesamtrechtsnachfolge, analog</w:t>
      </w:r>
    </w:p>
    <w:p>
      <w:r>
        <w:t xml:space="preserve">anzuwenden.</w:t>
      </w:r>
    </w:p>
    <w:p>
      <w:r>
        <w:rPr>
          <w:color w:val="555555"/>
          <w:sz w:val="17"/>
        </w:rPr>
        <w:t xml:space="preserve">Zitiervorschlag: § 7 SpkAV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https://recht.nulegal.eu/gesetze/SpkAV/7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