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SpkAV (Brandenburg) — Übertragung von Zweigstellen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Übertragung von Zweigstellen einer Sparkasse, die</w:t>
      </w:r>
    </w:p>
    <w:p>
      <w:r>
        <w:t xml:space="preserve">im Gebiet des Gewährträgers einer anderen Sparkasse liegen, ist</w:t>
      </w:r>
    </w:p>
    <w:p>
      <w:r>
        <w:t xml:space="preserve">zwischen den beteiligten Sparkassen eine Vereinbarung abzuschließen.</w:t>
      </w:r>
    </w:p>
    <w:p>
      <w:r>
        <w:t xml:space="preserve">über die Vereinbarung beschließt das dafür zuständige</w:t>
      </w:r>
    </w:p>
    <w:p>
      <w:r>
        <w:t xml:space="preserve">Organ.</w:t>
      </w:r>
    </w:p>
    <w:p>
      <w:r>
        <w:t xml:space="preserve">(2) In der Vereinbarung sind insbesondere der Zeitpunkt der</w:t>
      </w:r>
    </w:p>
    <w:p>
      <w:r>
        <w:t xml:space="preserve">Übertragung, die Erstellung einer Übertragungsbilanz, die hierbei zu</w:t>
      </w:r>
    </w:p>
    <w:p>
      <w:r>
        <w:t xml:space="preserve">beachtenden Grundsätze, die Art und Weise des Ausgleichs der</w:t>
      </w:r>
    </w:p>
    <w:p>
      <w:r>
        <w:t xml:space="preserve">Übertragungsbilanz und die Übernahme der Beschäftigten zu</w:t>
      </w:r>
    </w:p>
    <w:p>
      <w:r>
        <w:t xml:space="preserve">regeln.</w:t>
      </w:r>
    </w:p>
    <w:p>
      <w:r>
        <w:t xml:space="preserve">(3) In die Übertragungsbilanz ist ein angemessener Teil</w:t>
      </w:r>
    </w:p>
    <w:p>
      <w:r>
        <w:t xml:space="preserve">von haftendem Eigenkapital einzustellen.</w:t>
      </w:r>
    </w:p>
    <w:p>
      <w:r>
        <w:t xml:space="preserve">(4) Die Übertragungsbilanz wird von der</w:t>
      </w:r>
    </w:p>
    <w:p>
      <w:r>
        <w:t xml:space="preserve">Prüfungsstelle des zuständigen Sparkassen- und Giroverbandes</w:t>
      </w:r>
    </w:p>
    <w:p>
      <w:r>
        <w:t xml:space="preserve">geprüft.</w:t>
      </w:r>
    </w:p>
    <w:p>
      <w:r>
        <w:t xml:space="preserve">(5) Die Vereinbarung bedarf der Genehmigung der</w:t>
      </w:r>
    </w:p>
    <w:p>
      <w:r>
        <w:t xml:space="preserve">Sparkassenaufsichtsbehörde.</w:t>
      </w:r>
    </w:p>
    <w:p>
      <w:r>
        <w:rPr>
          <w:color w:val="555555"/>
          <w:sz w:val="17"/>
        </w:rPr>
        <w:t xml:space="preserve">Zitiervorschlag: § 6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