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SpkAV (Brandenburg) — Personalrechtliche Übergangsvorschriften</w:t>
      </w:r>
    </w:p>
    <w:p>
      <w:r>
        <w:rPr>
          <w:color w:val="555555"/>
          <w:sz w:val="18"/>
        </w:rPr>
        <w:t xml:space="preserve">Sparkassenanpassungsverordnung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im Rahmen der Anpassung der Sparkassenstruktur an die</w:t>
      </w:r>
    </w:p>
    <w:p>
      <w:r>
        <w:t xml:space="preserve">neue Gewährträgerstruktur notwendigen personalrechtlichen</w:t>
      </w:r>
    </w:p>
    <w:p>
      <w:r>
        <w:t xml:space="preserve">Maßnahmen sind von den beteiligten Sparkassen unter Berücksichtigung</w:t>
      </w:r>
    </w:p>
    <w:p>
      <w:r>
        <w:t xml:space="preserve">der sozialen Belange der Dienstkräfte zu vereinbaren.</w:t>
      </w:r>
    </w:p>
    <w:p>
      <w:r>
        <w:t xml:space="preserve">(2) Die Dienstverträge für die Vorstandsmitglieder</w:t>
      </w:r>
    </w:p>
    <w:p>
      <w:r>
        <w:t xml:space="preserve">und die stellvertretenden Vorstandsmitglieder der vereinigten Sparkasse sind</w:t>
      </w:r>
    </w:p>
    <w:p>
      <w:r>
        <w:t xml:space="preserve">durch den Verwaltungsrat entsprechend den hierzu mit Zustimmung der</w:t>
      </w:r>
    </w:p>
    <w:p>
      <w:r>
        <w:t xml:space="preserve">Sparkassenaufsichtsbehörde ergangenen Empfehlungen des zuständigen</w:t>
      </w:r>
    </w:p>
    <w:p>
      <w:r>
        <w:t xml:space="preserve">Sparkassen- und Giroverbandes an die Gegebenheiten der vereinigten Sparkasse</w:t>
      </w:r>
    </w:p>
    <w:p>
      <w:r>
        <w:t xml:space="preserve">anzupassen.</w:t>
      </w:r>
    </w:p>
    <w:p>
      <w:r>
        <w:t xml:space="preserve">(3) Können bei der Vereinigung von Sparkassen</w:t>
      </w:r>
    </w:p>
    <w:p>
      <w:r>
        <w:t xml:space="preserve">Vorstandsmitglieder oder stellvertretende Vorstandsmitglieder nicht als</w:t>
      </w:r>
    </w:p>
    <w:p>
      <w:r>
        <w:t xml:space="preserve">Vorstandsmitglied oder als stellvertretendes Vorstandsmitglied verwendet</w:t>
      </w:r>
    </w:p>
    <w:p>
      <w:r>
        <w:t xml:space="preserve">werden, ist eine die Interessen beider Vertragsparteien wahrende Vereinbarung</w:t>
      </w:r>
    </w:p>
    <w:p>
      <w:r>
        <w:t xml:space="preserve">zu treffen. Vor Kündigung oder Auflösung des Dienstverhältnisses</w:t>
      </w:r>
    </w:p>
    <w:p>
      <w:r>
        <w:t xml:space="preserve">ist insbesondere zu prüfen, ob dem Vorstandsmitglied oder dem</w:t>
      </w:r>
    </w:p>
    <w:p>
      <w:r>
        <w:t xml:space="preserve">stellvertretenden Vorstandsmitglied eine anderweitige leitende Tätigkeit</w:t>
      </w:r>
    </w:p>
    <w:p>
      <w:r>
        <w:t xml:space="preserve">in der vereinigten Sparkasse übertragen werden kann.</w:t>
      </w:r>
    </w:p>
    <w:p>
      <w:r>
        <w:rPr>
          <w:color w:val="555555"/>
          <w:sz w:val="17"/>
        </w:rPr>
        <w:t xml:space="preserve">Zitiervorschlag: § 5 SpkAV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