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SpkAV (Brandenburg) — Übergangsvorschriften für den Verwaltungsrat</w:t>
      </w:r>
    </w:p>
    <w:p>
      <w:r>
        <w:rPr>
          <w:color w:val="555555"/>
          <w:sz w:val="18"/>
        </w:rPr>
        <w:t xml:space="preserve">Sparkassenanpassungsverordnung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Nach dem Übergang der Gewährträgerschaft</w:t>
      </w:r>
    </w:p>
    <w:p>
      <w:r>
        <w:t xml:space="preserve">auf den neu gebildeten Landkreis bleiben die Mitglieder der</w:t>
      </w:r>
    </w:p>
    <w:p>
      <w:r>
        <w:t xml:space="preserve">Verwaltungsräte bis zur Vereinigung der Sparkassen im Amt. Die</w:t>
      </w:r>
    </w:p>
    <w:p>
      <w:r>
        <w:t xml:space="preserve">sparkassenrechtlichen Vorschriften über Ausschlußgründe</w:t>
      </w:r>
    </w:p>
    <w:p>
      <w:r>
        <w:t xml:space="preserve">für Mitglieder des Verwaltungsrats bleiben unberührt.</w:t>
      </w:r>
    </w:p>
    <w:p>
      <w:r>
        <w:t xml:space="preserve">(2) Für die Vorsitzenden der Verwaltungsräte gilt</w:t>
      </w:r>
    </w:p>
    <w:p>
      <w:r>
        <w:t xml:space="preserve">§ 21 Abs. 3 des Kreisneugliederungsgesetzes.</w:t>
      </w:r>
    </w:p>
    <w:p>
      <w:r>
        <w:rPr>
          <w:color w:val="555555"/>
          <w:sz w:val="17"/>
        </w:rPr>
        <w:t xml:space="preserve">Zitiervorschlag: § 3 SpkAV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https://recht.nulegal.eu/gesetze/SpkAV/3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