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SpkAV (Brandenburg) — Gewährträgerschaft bei Aufhebung der Kreisfreiheit</w:t>
      </w:r>
    </w:p>
    <w:p>
      <w:r>
        <w:rPr>
          <w:color w:val="555555"/>
          <w:sz w:val="18"/>
        </w:rPr>
        <w:t xml:space="preserve">Sparkassenanpassungsverordnung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(nichtig)</w:t>
      </w:r>
    </w:p>
    <w:p>
      <w:r>
        <w:t xml:space="preserve">(2) Mit der Aufhebung der Kreisfreiheit von</w:t>
      </w:r>
    </w:p>
    <w:p>
      <w:r>
        <w:t xml:space="preserve">Eisenhüttenstadt wird der neu gebildete Landkreis Oder-Spree</w:t>
      </w:r>
    </w:p>
    <w:p>
      <w:r>
        <w:t xml:space="preserve">Gewährträger der Stadt- und Kreissparkasse Eisenhüttenstadt.</w:t>
      </w:r>
    </w:p>
    <w:p>
      <w:r>
        <w:rPr>
          <w:color w:val="555555"/>
          <w:sz w:val="17"/>
        </w:rPr>
        <w:t xml:space="preserve">Zitiervorschlag: § 2 SpkAV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https://recht.nulegal.eu/gesetze/SpkAV/2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