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SpkAV (Brandenburg) — Grundsätze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Vereinigung von Sparkassen darf nicht zu einer</w:t>
      </w:r>
    </w:p>
    <w:p>
      <w:r>
        <w:t xml:space="preserve">Beeinträchtigung der Leistungsfähigkeit einer Sparkasse führen.</w:t>
      </w:r>
    </w:p>
    <w:p>
      <w:r>
        <w:t xml:space="preserve">(2) Mit der Auflösung des Gewährträgers einer Sparkasse</w:t>
      </w:r>
    </w:p>
    <w:p>
      <w:r>
        <w:t xml:space="preserve">durch Maßnahmen der Kreisneugliederung wird sein Rechtsnachfolger</w:t>
      </w:r>
    </w:p>
    <w:p>
      <w:r>
        <w:t xml:space="preserve">Gewährträger der Sparkasse.</w:t>
      </w:r>
    </w:p>
    <w:p>
      <w:r>
        <w:t xml:space="preserve">(3) Ist ein Zweckverband Gewährträger einer Sparkasse, tritt an</w:t>
      </w:r>
    </w:p>
    <w:p>
      <w:r>
        <w:t xml:space="preserve">die Stelle der aufgelösten Zweckverbandsmitglieder deren Rechtsnachfolger.</w:t>
      </w:r>
    </w:p>
    <w:p>
      <w:r>
        <w:t xml:space="preserve">(4) Werden sämtliche Mitglieder eines Sparkassenzweckverbandes</w:t>
      </w:r>
    </w:p>
    <w:p>
      <w:r>
        <w:t xml:space="preserve">aufgelöst und tritt ein neu gebildeter Landkreis an ihre Stelle, ist der</w:t>
      </w:r>
    </w:p>
    <w:p>
      <w:r>
        <w:t xml:space="preserve">Sparkassenzweckverband mit der Konstituierung der Vertretung des neu gebildeten</w:t>
      </w:r>
    </w:p>
    <w:p>
      <w:r>
        <w:t xml:space="preserve">Landkreises aufgelöst.</w:t>
      </w:r>
    </w:p>
    <w:p>
      <w:r>
        <w:rPr>
          <w:color w:val="555555"/>
          <w:sz w:val="17"/>
        </w:rPr>
        <w:t xml:space="preserve">Zitiervorschlag: § 1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