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Spk-WO NRW (Nordrhein-Westfalen) — Anfechtung der Wahl</w:t>
      </w:r>
    </w:p>
    <w:p>
      <w:r>
        <w:rPr>
          <w:color w:val="555555"/>
          <w:sz w:val="18"/>
        </w:rPr>
        <w:t xml:space="preserve">Wahlordnung für Sparkassen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Anfechtung der Wahl gilt § 22 des Landespersonalvertretungsgesetzes entsprechend.</w:t>
      </w:r>
    </w:p>
    <w:p>
      <w:r>
        <w:rPr>
          <w:color w:val="555555"/>
          <w:sz w:val="17"/>
        </w:rPr>
        <w:t xml:space="preserve">Zitiervorschlag: § 13 Spk-WO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https://recht.nulegal.eu/gesetze/Spk-WO%20NRW/13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