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SpitzSignalV</w:t>
      </w:r>
    </w:p>
    <w:p>
      <w:r>
        <w:rPr>
          <w:color w:val="555555"/>
          <w:sz w:val="18"/>
        </w:rPr>
        <w:t xml:space="preserve">Verordnung zur Einführung eines einheitlichen Spitzensignals für Eisenbahnen des nichtöffentlichen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und Abs. 3 Satz 1 des Allgemeinen Eisenbahngesetzes vom 29. März 1951 (Bundesgesetzbl. I S. 225) in Verbindung mit § 1 der Verordnung über die Ermächtigung des Bundesministers für Verkehr zum Erlaß von Rechtsverordnungen auf dem Gebiet des Eisenbahnwesens vom 28. September 1955 (Bundesgesetzbl. I S. 654) wird mit Zustimmung des Bundesrates verordnet:</w:t>
      </w:r>
    </w:p>
    <w:p>
      <w:r>
        <w:rPr>
          <w:color w:val="555555"/>
          <w:sz w:val="17"/>
        </w:rPr>
        <w:t xml:space="preserve">Zitiervorschlag: Eingangsformel SpitzSignalV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https://recht.nulegal.eu/gesetze/SpitzSignalV/eingangsformel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