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SpitzSignalV</w:t>
      </w:r>
    </w:p>
    <w:p>
      <w:r>
        <w:rPr>
          <w:color w:val="555555"/>
          <w:sz w:val="18"/>
        </w:rPr>
        <w:t xml:space="preserve">Verordnung zur Einführung eines einheitlichen Spitzensignals für Eisenbahnen des nichtöffentlichen Verkehrs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Verordnung tritt am ersten Tage des auf ihre Verkündung folgenden Monats in Kraft.</w:t>
      </w:r>
    </w:p>
    <w:p>
      <w:r>
        <w:t xml:space="preserve">(2)</w:t>
      </w:r>
    </w:p>
    <w:p>
      <w:r>
        <w:rPr>
          <w:color w:val="555555"/>
          <w:sz w:val="17"/>
        </w:rPr>
        <w:t xml:space="preserve">Zitiervorschlag: § 3 SpitzSignalV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https://recht.nulegal.eu/gesetze/SpitzSignalV/3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