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SpiritV — (zu § 5 Abs. 2) Bewertungsschema für Deutschen Weinbrand</w:t>
      </w:r>
    </w:p>
    <w:p>
      <w:r>
        <w:rPr>
          <w:color w:val="555555"/>
          <w:sz w:val="18"/>
        </w:rPr>
        <w:t xml:space="preserve">Alkoholhaltige Getränke-Verordnung</w:t>
      </w:r>
    </w:p>
    <w:p>
      <w:r>
        <w:rPr>
          <w:color w:val="555555"/>
          <w:sz w:val="18"/>
        </w:rPr>
        <w:t xml:space="preserve">Stand: 10.06.2019 (konsolidierte Textfassung, kein amtliches Inkrafttretensdatum)</w:t>
      </w:r>
    </w:p>
    <w:p>
      <w:r>
        <w:t xml:space="preserve">(Fundstelle des Originaltextes: BGBl. I 2003, 1261)</w:t>
      </w:r>
    </w:p>
    <w:p>
      <w:pPr>
        <w:ind w:left="420"/>
      </w:pPr>
      <w:r>
        <w:t xml:space="preserve">1. Sensorische VorbedingungenDie nachfolgenden Vorbedingungen werden auf JA/NEIN-Entscheidung geprüft; dabei bedeutet NEIN den Ausschluss von der weiteren Prüfung.</w:t>
      </w:r>
    </w:p>
    <w:p>
      <w:pPr>
        <w:ind w:left="780"/>
      </w:pPr>
      <w:r>
        <w:t xml:space="preserve">a) Farbe: typisch - goldgelb bis goldbraun</w:t>
      </w:r>
    </w:p>
    <w:p>
      <w:pPr>
        <w:ind w:left="780"/>
      </w:pPr>
      <w:r>
        <w:t xml:space="preserve">b) Klarheit: typisch - blank, glanzhell</w:t>
      </w:r>
    </w:p>
    <w:p>
      <w:pPr>
        <w:ind w:left="420"/>
      </w:pPr>
      <w:r>
        <w:t xml:space="preserve">2. Sensorische Prüfmerkmale und Qualitätszahl</w:t>
      </w:r>
    </w:p>
    <w:p>
      <w:pPr>
        <w:ind w:left="780"/>
      </w:pPr>
      <w:r>
        <w:t xml:space="preserve">a) Punkteskala</w:t>
      </w:r>
    </w:p>
    <w:p>
      <w:r>
        <w:rPr>
          <w:rFonts w:ascii="Courier New" w:hAnsi="Courier New"/>
          <w:sz w:val="17"/>
        </w:rPr>
        <w:t xml:space="preserve">    Punkte    Intervalle        Qualitätsbeschreibung</w:t>
      </w:r>
    </w:p>
    <w:p>
      <w:r>
        <w:rPr>
          <w:rFonts w:ascii="Courier New" w:hAnsi="Courier New"/>
          <w:sz w:val="17"/>
        </w:rPr>
        <w:t xml:space="preserve">    5    4,50 - 5,00        hervorragend</w:t>
      </w:r>
    </w:p>
    <w:p>
      <w:r>
        <w:rPr>
          <w:rFonts w:ascii="Courier New" w:hAnsi="Courier New"/>
          <w:sz w:val="17"/>
        </w:rPr>
        <w:t xml:space="preserve">    4    3,50 - 4,49        sehr gut</w:t>
      </w:r>
    </w:p>
    <w:p>
      <w:r>
        <w:rPr>
          <w:rFonts w:ascii="Courier New" w:hAnsi="Courier New"/>
          <w:sz w:val="17"/>
        </w:rPr>
        <w:t xml:space="preserve">    3    2,50 - 3,49        gut</w:t>
      </w:r>
    </w:p>
    <w:p>
      <w:r>
        <w:rPr>
          <w:rFonts w:ascii="Courier New" w:hAnsi="Courier New"/>
          <w:sz w:val="17"/>
        </w:rPr>
        <w:t xml:space="preserve">    2    1,50 - 2,49        zufrieden stellend</w:t>
      </w:r>
    </w:p>
    <w:p>
      <w:r>
        <w:rPr>
          <w:rFonts w:ascii="Courier New" w:hAnsi="Courier New"/>
          <w:sz w:val="17"/>
        </w:rPr>
        <w:t xml:space="preserve">    1    0,50 - 1,49        nicht zufrieden stellend</w:t>
      </w:r>
    </w:p>
    <w:p>
      <w:r>
        <w:rPr>
          <w:rFonts w:ascii="Courier New" w:hAnsi="Courier New"/>
          <w:sz w:val="17"/>
        </w:rPr>
        <w:t xml:space="preserve">    0            keine Bewertung, d.h. Ausschlussdes Erzeugnisses</w:t>
      </w:r>
    </w:p>
    <w:p>
      <w:r>
        <w:rPr>
          <w:rFonts w:ascii="Courier New" w:hAnsi="Courier New"/>
          <w:sz w:val="17"/>
        </w:rPr>
        <w:t xml:space="preserve">b)    Sensorische Prüfmerkmale und Möglichkeiten derPunktvergabe</w:t>
      </w:r>
    </w:p>
    <w:p>
      <w:r>
        <w:rPr>
          <w:rFonts w:ascii="Courier New" w:hAnsi="Courier New"/>
          <w:sz w:val="17"/>
        </w:rPr>
        <w:t xml:space="preserve">Prüfmerkmal:    Möglichkeit der Punktvergabe</w:t>
      </w:r>
    </w:p>
    <w:p>
      <w:r>
        <w:rPr>
          <w:rFonts w:ascii="Courier New" w:hAnsi="Courier New"/>
          <w:sz w:val="17"/>
        </w:rPr>
        <w:t xml:space="preserve">Geruch    5,0    4,5    4,0    3,5    3,0    2,5    2,0    1,5    1,0    0,5    0</w:t>
      </w:r>
    </w:p>
    <w:p>
      <w:r>
        <w:rPr>
          <w:rFonts w:ascii="Courier New" w:hAnsi="Courier New"/>
          <w:sz w:val="17"/>
        </w:rPr>
        <w:t xml:space="preserve">Geschmack    5,0    4,5    4,0    3,5    3,0    2,5    2,0    1,5    1,0    0,5    0</w:t>
      </w:r>
    </w:p>
    <w:p>
      <w:r>
        <w:rPr>
          <w:rFonts w:ascii="Courier New" w:hAnsi="Courier New"/>
          <w:sz w:val="17"/>
        </w:rPr>
        <w:t xml:space="preserve">Harmonie    5,0    4,5    4,0    3,5    3,0    2,5    2,0    1,5    1,0    0,5    0</w:t>
      </w:r>
    </w:p>
    <w:p>
      <w:pPr>
        <w:ind w:left="780"/>
      </w:pPr>
      <w:r>
        <w:t xml:space="preserve">Harmonie ist das Zusammenwirken von Geruch, Geschmack und den anderen in § 2 Nr. 6 genannten sensorischen Vorbedingungen. Ihre Bewertung darf gegenüber Geruch und Geschmack um höchstens 1,0 Punkt nach oben abweichen. Sind Geruch und Geschmack unterschiedlich bewertet, so gilt jeweils die höhere Punktzahl.Jedes Prüfmerkmal ist einzeln zu bewerten und seine Punktzahl niederzuschreiben. Nach Bewertung aller Prüfmerkmale dürfen die niedergeschriebenen Punktzahlen noch korrigiert werden. Alle Prüfmerkmale sind gleich wichtig (jeweils Gewichtungsfaktor 1).</w:t>
      </w:r>
    </w:p>
    <w:p>
      <w:pPr>
        <w:ind w:left="780"/>
      </w:pPr>
      <w:r>
        <w:t xml:space="preserve">c) Mindestpunktzahl und QualitätszahlDie Mindestpunktzahl für jedes einzelne Prüfmerkmal ist 1,50. Die durch drei geteilte Summe der für Geruch, Geschmack und Harmonie erteilten Punkte ergibt die Qualitätszahl. Die Qualitätszahl muss für Deutschen Weinbrand mindestens 1,50 betragen.</w:t>
      </w:r>
    </w:p>
    <w:p>
      <w:r>
        <w:rPr>
          <w:color w:val="555555"/>
          <w:sz w:val="17"/>
        </w:rPr>
        <w:t xml:space="preserve">Zitiervorschlag: Anlage 2 SpiritV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https://recht.nulegal.eu/gesetze/SpiritV/anlage-2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