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SpiritV — Zuckerung von bestimmten Spirituosen</w:t>
      </w:r>
    </w:p>
    <w:p>
      <w:r>
        <w:rPr>
          <w:color w:val="555555"/>
          <w:sz w:val="18"/>
        </w:rPr>
        <w:t xml:space="preserve">Alkoholhaltige Getränke-Verordnung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gewerbsmäßigen Herstellung von</w:t>
      </w:r>
    </w:p>
    <w:p>
      <w:pPr>
        <w:ind w:left="420"/>
      </w:pPr>
      <w:r>
        <w:t xml:space="preserve">1. Obstbrand im Sinne des Anhangs II Nr. 9 der Verordnung (EG) Nr. 110/2008, Brand im Sinne des Anhangs II Nr. 16 der Verordnung (EG) Nr. 110/2008 oder Geist im Sinne des Anhangs II Nr. 17 der Verordnung (EG) Nr. 110/2008,</w:t>
      </w:r>
    </w:p>
    <w:p>
      <w:pPr>
        <w:ind w:left="420"/>
      </w:pPr>
      <w:r>
        <w:t xml:space="preserve">2. Tresterbrand oder Trester im Sinne des Anhangs II Nr. 6 der Verordnung (EG) Nr. 110/2008,</w:t>
      </w:r>
    </w:p>
    <w:p>
      <w:pPr>
        <w:ind w:left="420"/>
      </w:pPr>
      <w:r>
        <w:t xml:space="preserve">3. Topinambur oder Brand aus Jerusalem-Artischocke im Sinne des Anhangs II Nr. 14 der Verordnung (EG) Nr. 110/2008 oder</w:t>
      </w:r>
    </w:p>
    <w:p>
      <w:pPr>
        <w:ind w:left="420"/>
      </w:pPr>
      <w:r>
        <w:t xml:space="preserve">4. Hefebrand oder Brand aus Trub im Sinne des Anhangs II Nr. 12 der Verordnung (EG) Nr. 110/2008</w:t>
      </w:r>
    </w:p>
    <w:p>
      <w:r>
        <w:t xml:space="preserve">dürfen über die nach der Verordnung (EG) Nr. 110/2008 zulässigen Stoffe hinaus zur Geschmacksabrundung Zuckerarten, die in Anlage 1 Nr. 1 bis 6 der Zuckerartenverordnung aufgeführt sind, nicht karamellisiert, verwendet werden. Der Gesamtgehalt an Zucker, als Invertzucker berechnet, darf in einem Liter des gebrauchsfertigen Erzeugnisses nicht mehr als zehn Gramm betragen.</w:t>
      </w:r>
    </w:p>
    <w:p>
      <w:r>
        <w:t xml:space="preserve">(2) Absatz 1 findet keine Anwendung auf die dort genannten Spirituosen, die unter einer geographischen Bezeichnung in den Verkehr gebracht werden.</w:t>
      </w:r>
    </w:p>
    <w:p>
      <w:r>
        <w:t xml:space="preserve">(3) In Absatz 1 genannte Spirituosen, die entgegen Absatz 1 mit anderen als den dort genannten Zuckerarten oder mit Zuckerarten über die festgesetzte Höchstmenge hinaus hergestellt worden sind oder bei deren Herstellung entgegen Absatz 2 Zucker verwendet worden ist, dürfen gewerbsmäßig nicht in den Verkehr gebracht werden.</w:t>
      </w:r>
    </w:p>
    <w:p>
      <w:r>
        <w:rPr>
          <w:color w:val="555555"/>
          <w:sz w:val="17"/>
        </w:rPr>
        <w:t xml:space="preserve">Zitiervorschlag: § 8 SpiritV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https://recht.nulegal.eu/gesetze/SpiritV/8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