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SpiritV — Angabe der Prüfungsnummer</w:t>
      </w:r>
    </w:p>
    <w:p>
      <w:r>
        <w:rPr>
          <w:color w:val="555555"/>
          <w:sz w:val="18"/>
        </w:rPr>
        <w:t xml:space="preserve">Alkoholhaltige Getränke-Verordnung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Prüfungsnummer ist die Angabe "Amtliche Prüfungsnummer" voranzustellen. An Stelle dieser Angabe kann die Kurzform "A.P.Nr." gebraucht werden.</w:t>
      </w:r>
    </w:p>
    <w:p>
      <w:r>
        <w:t xml:space="preserve">(2) Die Prüfungsnummer und die Angabe nach Absatz 1 sind auf den zur Abgabe an den Verbraucher bestimmten Behältnissen oder auf einem mit ihnen verbundenen Etikett an gut sichtbarer Stelle, deutlich lesbar und unverwischbar anzubringen. Dem Verbraucher nach Satz 1 stehen Gaststätten, Einrichtungen zur Gemeinschaftsverpflegung sowie Gewerbetreibende, soweit sie Deutschen Weinbrand zum Verbrauch innerhalb ihrer Betriebsstätte beziehen, gleich.</w:t>
      </w:r>
    </w:p>
    <w:p>
      <w:r>
        <w:rPr>
          <w:color w:val="555555"/>
          <w:sz w:val="17"/>
        </w:rPr>
        <w:t xml:space="preserve">Zitiervorschlag: § 6 SpiritV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https://recht.nulegal.eu/gesetze/SpiritV/6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