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SpiritV — Straftaten</w:t>
      </w:r>
    </w:p>
    <w:p>
      <w:r>
        <w:rPr>
          <w:color w:val="555555"/>
          <w:sz w:val="18"/>
        </w:rPr>
        <w:t xml:space="preserve">Alkoholhaltige Getränke-Verordnung</w:t>
      </w:r>
    </w:p>
    <w:p>
      <w:r>
        <w:rPr>
          <w:color w:val="555555"/>
          <w:sz w:val="18"/>
        </w:rPr>
        <w:t xml:space="preserve">Stand: 10.11.2021 (konsolidierte Textfassung, kein amtliches Inkrafttretensdatum)</w:t>
      </w:r>
    </w:p>
    <w:p>
      <w:r>
        <w:t xml:space="preserve">Nach § 59 Abs. 1 Nr. 21 Buchstabe a des Lebensmittel- und Futtermittelgesetzbuches wird bestraft,</w:t>
      </w:r>
    </w:p>
    <w:p>
      <w:pPr>
        <w:ind w:left="420"/>
      </w:pPr>
      <w:r>
        <w:t xml:space="preserve">1. wer</w:t>
      </w:r>
    </w:p>
    <w:p>
      <w:pPr>
        <w:ind w:left="780"/>
      </w:pPr>
      <w:r>
        <w:t xml:space="preserve">a) entgegen § 1 Abs. 3 Weinbrand oder Brandy,</w:t>
      </w:r>
    </w:p>
    <w:p>
      <w:pPr>
        <w:ind w:left="780"/>
      </w:pPr>
      <w:r>
        <w:t xml:space="preserve">b) entgegen § 2 Nr. 1 bis 6 oder 8 eine Spirituose unter der Verkehrsbezeichnung „Deutscher Weinbrand“,</w:t>
      </w:r>
    </w:p>
    <w:p>
      <w:pPr>
        <w:ind w:left="780"/>
      </w:pPr>
      <w:r>
        <w:t xml:space="preserve">c) entgegen § 8 Absatz 3 oder § 9 Absatz 1 eine Spirituose oder</w:t>
      </w:r>
    </w:p>
    <w:p>
      <w:pPr>
        <w:ind w:left="780"/>
      </w:pPr>
      <w:r>
        <w:t xml:space="preserve">d) entgegen § 10 Abs. 8 oder § 11 Satz 1 ein dort genanntes Getränk</w:t>
      </w:r>
    </w:p>
    <w:p>
      <w:pPr>
        <w:ind w:left="420"/>
      </w:pPr>
      <w:r>
        <w:t xml:space="preserve">gewerbsmäßig in den Verkehr bringt oder</w:t>
      </w:r>
    </w:p>
    <w:p>
      <w:pPr>
        <w:ind w:left="420"/>
      </w:pPr>
      <w:r>
        <w:t xml:space="preserve">2. wer entgegen § 3 Satz 1, auch in Verbindung mit § 3 Satz 2, Weinbrand, Brandy oder Deutschen Weinbrand mit Hinweisen auf das Alter gewerbsmäßig in den Verkehr bringt oder gewerbsmäßig mit solchen Hinweisen wirbt.</w:t>
      </w:r>
    </w:p>
    <w:p>
      <w:r>
        <w:rPr>
          <w:color w:val="555555"/>
          <w:sz w:val="17"/>
        </w:rPr>
        <w:t xml:space="preserve">Zitiervorschlag: § 12 SpiritV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https://recht.nulegal.eu/gesetze/SpiritV/12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