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SpiritV — Kennzeichnung</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(1) Die in § 10 Abs. 1 bis 4 und 7 bezeichneten Getränke dürfen als "...Wein" nur in solchen Wortverbindungen in den Verkehr gebracht werden, die die in § 10 Abs. 1 aufgeführten Ausgangsstoffe kennzeichnen, aus denen sie hergestellt sind. Bei der Verwendung von aus Früchten herrührenden Zutaten sind die Namen der Früchte anzugeben. An Stelle der Namen der Früchte können auch andere entsprechende Bezeichnungen wie insbesondere Gattungsbezeichnungen verwendet werden. Bei den in § 10 Abs. 2 oder 3 genannten Getränken ist die Verwendung nicht aus der Gärung stammender Kohlensäure in Verbindung mit der Bezeichnung des Lebensmittels kenntlich zu machen. Diese Angabe kann entfallen, wenn auf der Fertigpackung ein Verzeichnis der Zutaten im Sinne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L 331 vom 18.11.2014, S. 41; L 50 vom 21.2.2015, S. 48; L 266 vom 30.9.2016, S. 7) in der jeweils geltenden Fassung angegeben ist. Anhang VII Teil II Nummer 1 Unterabsatz 6 der Verordnung (EU) Nr. 1308/2013 bleibt unberührt.</w:t>
      </w:r>
    </w:p>
    <w:p>
      <w:r>
        <w:t xml:space="preserve">(2) Soweit die in § 10 Absatz 3 bezeichneten Getränke die Anforderungen nach Absatz 1 erfüllen, dürfen sie als „…-Schaumwein“ in der in Artikel 69 Absatz 1 der Verordnung (EG) Nr. 607/2009 der Kommission vom 14. Juli 2009 mit Durchführungsbestimmungen zur Verordnung (EG) Nr. 479/2009 des Rates hinsichtlich der geschützten Ursprungsbezeichnungen und geografischen Angaben, der traditionellen Begriffe sowie der Kennzeichnung und Aufmachung bestimmter Weinbauerzeugnisse (ABl. L 193 vom 24.7.2009, S. 60) in der jeweils geltenden Fassung bezeichneten Aufmachung in Verkehr gebracht werden.</w:t>
      </w:r>
    </w:p>
    <w:p>
      <w:r>
        <w:rPr>
          <w:color w:val="555555"/>
          <w:sz w:val="17"/>
        </w:rPr>
        <w:t xml:space="preserve">Zitiervorschlag: § 11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