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SpielhVerbV (Brandenburg) — Inkrafttreten, Außerkrafttreten</w:t>
      </w:r>
    </w:p>
    <w:p>
      <w:r>
        <w:rPr>
          <w:color w:val="555555"/>
          <w:sz w:val="18"/>
        </w:rPr>
        <w:t xml:space="preserve">Spielhallenverbundverordnung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vier Wochen nach der Verkündung in Kraft. Sie tritt mit Ablauf des 31. Dezember 2030 außer Kraft.</w:t>
      </w:r>
    </w:p>
    <w:p>
      <w:r>
        <w:t xml:space="preserve">Einzelnorm</w:t>
      </w:r>
    </w:p>
    <w:p>
      <w:r>
        <w:t xml:space="preserve">Potsdam, den 18. Januar 2022</w:t>
      </w:r>
    </w:p>
    <w:p>
      <w:r>
        <w:t xml:space="preserve">Die Ministerin für Soziales, Gesundheit,</w:t>
      </w:r>
    </w:p>
    <w:p>
      <w:r>
        <w:t xml:space="preserve">Integration und Verbraucherschutz</w:t>
      </w:r>
    </w:p>
    <w:p>
      <w:r>
        <w:t xml:space="preserve">Ursula Nonnemacher</w:t>
      </w:r>
    </w:p>
    <w:p>
      <w:r>
        <w:rPr>
          <w:color w:val="555555"/>
          <w:sz w:val="17"/>
        </w:rPr>
        <w:t xml:space="preserve">Zitiervorschlag: § 5 SpielhVerbV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https://recht.nulegal.eu/gesetze/SpielhVerbV/5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