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SpielhSozV (Brandenburg) — Anerkennungsverfahren für Schulungsangebote</w:t>
      </w:r>
    </w:p>
    <w:p>
      <w:r>
        <w:rPr>
          <w:color w:val="555555"/>
          <w:sz w:val="18"/>
        </w:rPr>
        <w:t xml:space="preserve">Spielhallensozialkonzeptverordnung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Schulungsangebote werden auf schriftlichen Antrag bei Vorliegen der Voraussetzungen nach § 3 durch das Landesamt für Arbeitsschutz, Verbraucherschutz und Gesundheit anerkannt. Dem Antrag sind entsprechende Nachweise und Erklärungen beizufügen.</w:t>
      </w:r>
    </w:p>
    <w:p>
      <w:r>
        <w:t xml:space="preserve">(2) Anerkannte Schulungsangebote werden in eine Liste aufgenommen, die auf der Internetseite des Landesamts für Arbeitsschutz, Verbraucherschutz und Gesundheit veröffentlicht wird.</w:t>
      </w:r>
    </w:p>
    <w:p>
      <w:r>
        <w:t xml:space="preserve">(3) Wird bekannt, dass die in § 3 beschriebenen Anforderungen nicht mehr vorliegen, ist die Anerkennung zu widerrufen.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SpielhSozV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https://recht.nulegal.eu/gesetze/SpielhSozV/4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