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SpielhSozV (Brandenburg) — Anerkennungsvoraussetzungen für Schulungsangebote</w:t>
      </w:r>
    </w:p>
    <w:p>
      <w:r>
        <w:rPr>
          <w:color w:val="555555"/>
          <w:sz w:val="18"/>
        </w:rPr>
        <w:t xml:space="preserve">Spielhallensozialkonzeptverordnung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Schulungsangebote zur Früherkennung problematischen und pathologischen Spielverhaltens sind im Verfahren nach § 4 anzuerkennen, wenn</w:t>
      </w:r>
    </w:p>
    <w:p>
      <w:r>
        <w:t xml:space="preserve">die Voraussetzungen zu Inhalt und Umfang gemäß § 2 vorliegen und</w:t>
      </w:r>
    </w:p>
    <w:p>
      <w:r>
        <w:t xml:space="preserve">die Schulungsanbieterin oder der Schulungsanbieter auf Grund entsprechender Erklärungen und Nachweise die Gewähr dafür bietet, dass sie oder er</w:t>
      </w:r>
    </w:p>
    <w:p>
      <w:r>
        <w:t xml:space="preserve">Erfahrungen mit der Durchführung von Schulungen im Rahmen von Aus- und Fortbildungen besitzt,</w:t>
      </w:r>
    </w:p>
    <w:p>
      <w:r>
        <w:t xml:space="preserve">die Schulung durch fachlich qualifizierte Dozentinnen und Dozenten durchgeführt wird, welche auf Grund mindestens zweijähriger praktischer Erfahrungen und Aktivitäten in der Suchtprävention oder Suchtberatung in der Lage sind, die nach § 2 Absatz 1 erforderlichen Inhalte erfolgreich an die zu schulenden Personen zu vermitteln,</w:t>
      </w:r>
    </w:p>
    <w:p>
      <w:r>
        <w:t xml:space="preserve">keine wirtschaftliche Unterstützung durch Betreiberinnen und Betreiber von Spielhallen, Automatenaufstellerinnen und -aufsteller oder andere Veranstalterinnen und Veranstalter von Glücksspielen erhält und nicht in finanzieller Abhängigkeit zu ihnen steht.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SpielhSozV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https://recht.nulegal.eu/gesetze/SpielhSozV/3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SpielhSozV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