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SpielbkV</w:t>
      </w:r>
    </w:p>
    <w:p>
      <w:r>
        <w:rPr>
          <w:color w:val="555555"/>
          <w:sz w:val="18"/>
        </w:rPr>
        <w:t xml:space="preserve">Verordnung über öffentliche Spielbanken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des Gesetzes über die Zulassung öffentlicher Spielbanken vom 14. Juli 1933 (Reichsgesetzbl. I S. 480) wird im Einvernehmen mit dem Reichsminister der Finanzen folgendes verordnet:</w:t>
      </w:r>
    </w:p>
    <w:p>
      <w:r>
        <w:rPr>
          <w:color w:val="555555"/>
          <w:sz w:val="17"/>
        </w:rPr>
        <w:t xml:space="preserve">Zitiervorschlag: Eingangsformel SpielbkV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