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SpielbkV</w:t>
      </w:r>
    </w:p>
    <w:p>
      <w:r>
        <w:rPr>
          <w:color w:val="555555"/>
          <w:sz w:val="18"/>
        </w:rPr>
        <w:t xml:space="preserve">Verordnung über öffentliche Spielbanken</w:t>
      </w:r>
    </w:p>
    <w:p>
      <w:r>
        <w:rPr>
          <w:color w:val="555555"/>
          <w:sz w:val="18"/>
        </w:rPr>
        <w:t xml:space="preserve">Stand: 10.06.2019 (konsolidierte Textfassung, kein amtliches Inkrafttretensdatum)</w:t>
      </w:r>
    </w:p>
    <w:p>
      <w:r>
        <w:t xml:space="preserve">(1) Der Spielbankunternehmer ist für den Betrieb der Spielbank von den laufenden Steuern des Reichs, die vom Einkommen, vom Vermögen und vom Umsatz erhoben werden, sowie von der Lotteriesteuer und von der Gesellschaftssteuer befreit.</w:t>
      </w:r>
    </w:p>
    <w:p>
      <w:r>
        <w:t xml:space="preserve">(2) Inwieweit der Spielbankunternehmer für den Betrieb der Spielbank auch von Landes- und Gemeindesteuern zu befreien ist, bestimmt der Reichsminister der Finanzen im Einvernehmen mit dem Reichsminister des Innern.</w:t>
      </w:r>
    </w:p>
    <w:p>
      <w:r>
        <w:rPr>
          <w:color w:val="555555"/>
          <w:sz w:val="17"/>
        </w:rPr>
        <w:t xml:space="preserve">Zitiervorschlag: § 6 SpielbkV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https://recht.nulegal.eu/gesetze/SpielbkV/6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