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SpielbkV</w:t>
      </w:r>
    </w:p>
    <w:p>
      <w:r>
        <w:rPr>
          <w:color w:val="555555"/>
          <w:sz w:val="18"/>
        </w:rPr>
        <w:t xml:space="preserve">Verordnung über öffentliche Spielbanken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</w:t>
      </w:r>
    </w:p>
    <w:p>
      <w:r>
        <w:t xml:space="preserve">(2) Im übrigen tritt die Verordnung an dem auf die Verkündung folgenden Tag in Kraft.</w:t>
      </w:r>
    </w:p>
    <w:p>
      <w:r>
        <w:t xml:space="preserve">(3)</w:t>
      </w:r>
    </w:p>
    <w:p>
      <w:r>
        <w:rPr>
          <w:color w:val="555555"/>
          <w:sz w:val="17"/>
        </w:rPr>
        <w:t xml:space="preserve">Zitiervorschlag: § 11 SpielbkV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https://recht.nulegal.eu/gesetze/SpielbkV/11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