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SpielbO (Bayern) — Zutrittsverbot</w:t>
      </w:r>
    </w:p>
    <w:p>
      <w:r>
        <w:rPr>
          <w:color w:val="555555"/>
          <w:sz w:val="18"/>
        </w:rPr>
        <w:t xml:space="preserve">Spielbankordnung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Spielbank ist berechtigt, zur Einhaltung der Spielverbote den Zutritt zu verwehren oder die Zutrittsberechtigung zu entziehen.</w:t>
      </w:r>
    </w:p>
    <w:p>
      <w:r>
        <w:t xml:space="preserve">(2) Die Befugnis der Spielbank, auf Grund des Hausrechts den Zutritt ohne Angabe von Gründen zu verwehren oder Personen zum Verlassen der Spielbank aufzufordern, bleibt unberührt.</w:t>
      </w:r>
    </w:p>
    <w:p>
      <w:r>
        <w:rPr>
          <w:color w:val="555555"/>
          <w:sz w:val="17"/>
        </w:rPr>
        <w:t xml:space="preserve">Zitiervorschlag: § 5 SpielbO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