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SpielbO (Bayern) — Aushang</w:t>
      </w:r>
    </w:p>
    <w:p>
      <w:r>
        <w:rPr>
          <w:color w:val="555555"/>
          <w:sz w:val="18"/>
        </w:rPr>
        <w:t xml:space="preserve">Spielbankordnung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Spielbankordnung ist an den Eingängen und in den Spielsälen deutlich sichtbar auszuhängen.</w:t>
      </w:r>
    </w:p>
    <w:p>
      <w:r>
        <w:rPr>
          <w:color w:val="555555"/>
          <w:sz w:val="17"/>
        </w:rPr>
        <w:t xml:space="preserve">Zitiervorschlag: § 12 SpielbO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https://recht.nulegal.eu/gesetze/SpielbO/12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