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SpielbO (Bayern) — Zugelassene Spiele und Spielregeln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Spielbanken ist der Betrieb folgender Glücksspiele zugelassen:</w:t>
      </w:r>
    </w:p>
    <w:p>
      <w:r>
        <w:t xml:space="preserve">1. Roulette, Baccara, Black Jack, Poker (Großes Spiel),</w:t>
      </w:r>
    </w:p>
    <w:p>
      <w:r>
        <w:t xml:space="preserve">2. Automatenspiele (Kleines Spiel).</w:t>
      </w:r>
    </w:p>
    <w:p>
      <w:r>
        <w:t xml:space="preserve">(2) Die Aufsichtsbehörde kann weitere Glücksspiele widerruflich zulassen.</w:t>
      </w:r>
    </w:p>
    <w:p>
      <w:r>
        <w:t xml:space="preserve">(3) Die Spielbankleitung setzt die Spielregeln nach den internationalen Gepflogenheiten fest. Die Spielregeln für alle veranstalteten Spiele sind in den Spielsälen auszuhängen. Sie sind für die Spielbank und alle Spielgäste verbindlich.</w:t>
      </w:r>
    </w:p>
    <w:p>
      <w:r>
        <w:rPr>
          <w:color w:val="555555"/>
          <w:sz w:val="17"/>
        </w:rPr>
        <w:t xml:space="preserve">Zitiervorschlag: § 1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