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SpielbG (Brandenburg) — Suchtforschung</w:t>
      </w:r>
    </w:p>
    <w:p>
      <w:r>
        <w:rPr>
          <w:color w:val="555555"/>
          <w:sz w:val="18"/>
        </w:rPr>
        <w:t xml:space="preserve">Spielbankgesetz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Spielbanken sind berechtigt und auf Verlangen der Glücksspielaufsichtsbehörde auch verpflichtet, Daten im Sinne des § 23 Abs. 1 des Glücksspielstaatsvertrages in anonymisierter Form für Zwecke der Glücksspielforschung zur Verfügung zu stellen.</w:t>
      </w:r>
    </w:p>
    <w:p>
      <w:r>
        <w:rPr>
          <w:color w:val="555555"/>
          <w:sz w:val="17"/>
        </w:rPr>
        <w:t xml:space="preserve">Zitiervorschlag: § 7 SpielbG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https://recht.nulegal.eu/gesetze/SpielbG/7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