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SpielbG (Brandenburg) — Jugendschutz, Zugangskontrolle</w:t>
      </w:r>
    </w:p>
    <w:p>
      <w:r>
        <w:rPr>
          <w:color w:val="555555"/>
          <w:sz w:val="18"/>
        </w:rPr>
        <w:t xml:space="preserve">Spielbankgesetz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Spielbank überprüft die Identität und das Alter der Spieler, bevor sie ihnen Zutritt gewährt.</w:t>
      </w:r>
    </w:p>
    <w:p>
      <w:r>
        <w:t xml:space="preserve">(2) Der Aufenthalt in der Spielbank ist Personen unter 18 Jahren nicht gestattet.</w:t>
      </w:r>
    </w:p>
    <w:p>
      <w:r>
        <w:t xml:space="preserve">(3) Für die Teilnahme am Online-Casinospiel gelten die Absätze 1 und 2 entsprechend und die Bestimmungen des Glücksspielstaatsvertrages 2021.</w:t>
      </w:r>
    </w:p>
    <w:p>
      <w:r>
        <w:rPr>
          <w:color w:val="555555"/>
          <w:sz w:val="17"/>
        </w:rPr>
        <w:t xml:space="preserve">Zitiervorschlag: § 5 SpielbG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