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SpielbG (Brandenburg) — Erfüllung der öffentlichen Aufgabe, Spielbankunternehmer</w:t>
      </w:r>
    </w:p>
    <w:p>
      <w:r>
        <w:rPr>
          <w:color w:val="555555"/>
          <w:sz w:val="18"/>
        </w:rPr>
        <w:t xml:space="preserve">Spielbankgesetz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kann die öffentliche Aufgabe, Glücksspiele in Spielbanken und Online-Casinospiele zu veranstalten, durch eine juristische Person des öffentlichen Rechts oder eine privatrechtliche Gesellschaft, an der das Land Brandenburg unmittelbar oder mittelbar mehrheitlich beteiligt ist, erfüllen.</w:t>
      </w:r>
    </w:p>
    <w:p>
      <w:r>
        <w:t xml:space="preserve">(2) Spielbankunternehmer im Sinne dieses Gesetzes und der aufgrund dieses Gesetzes erlassenen Rechtsverordnungen ist derjenige, der eine Spielbank als Erlaubnisinhaber tatsächlich betreibt.</w:t>
      </w:r>
    </w:p>
    <w:p>
      <w:r>
        <w:rPr>
          <w:color w:val="555555"/>
          <w:sz w:val="17"/>
        </w:rPr>
        <w:t xml:space="preserve">Zitiervorschlag: § 3 SpielbG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