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SpielbG (Brandenburg) — Gleichstellungsbestimmung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Personen-, Status- und Funktionsbezeichnungen in diesem Gesetz gelten jeweils in weiblicher und männlicher Form.</w:t>
      </w:r>
    </w:p>
    <w:p>
      <w:r>
        <w:rPr>
          <w:color w:val="555555"/>
          <w:sz w:val="17"/>
        </w:rPr>
        <w:t xml:space="preserve">Zitiervorschlag: § 15 SpielbG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