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SpielbG (Brandenburg) — Einschränkung von Grundrechten</w:t>
      </w:r>
    </w:p>
    <w:p>
      <w:r>
        <w:rPr>
          <w:color w:val="555555"/>
          <w:sz w:val="18"/>
        </w:rPr>
        <w:t xml:space="preserve">Spielbankgesetz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Durch dieses Gesetz werden das Grundrecht der Berufsfreiheit (Artikel 49 Absatz 1 der Verfassung des Landes Brandenburg), das Grundrecht auf informationelle Selbstbestimmung (Artikel 2 Absatz 1 in Verbindung mit Artikel 1 Absatz 1 des Grundgesetzes), das Grundrecht auf Datenschutz (Artikel 11 Absatz 1 der Verfassung des Landes Brandenburg), das Grundrecht auf körperliche Unversehrtheit (Artikel 8 Absatz 1 der Verfassung des Landes Brandenburg und Artikel 2 Absatz 2 des Grundgesetzes) und Freiheit der Person (Artikel 9 Absatz 1 der Verfassung des Landes Brandenburg und Artikel 2 Absatz 2 des Grundgesetzes), des Briefgeheimnisses sowie des Post- und Fernmeldegeheimnisses (Artikel 16 der Verfassung des Landes Brandenburg und Artikel 10 des Grundgesetzes) und das Grundrecht der Unverletzlichkeit der Wohnung (Artikel 15 der Verfassung des Landes Brandenburg und Artikel 13 des Grundgesetzes) eingeschränkt.</w:t>
      </w:r>
    </w:p>
    <w:p>
      <w:r>
        <w:rPr>
          <w:color w:val="555555"/>
          <w:sz w:val="17"/>
        </w:rPr>
        <w:t xml:space="preserve">Zitiervorschlag: § 14 SpielbG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