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SpielbG (Brandenburg) — Spielordnung</w:t>
      </w:r>
    </w:p>
    <w:p>
      <w:r>
        <w:rPr>
          <w:color w:val="555555"/>
          <w:sz w:val="18"/>
        </w:rPr>
        <w:t xml:space="preserve">Spielbankgesetz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für Inneres zuständige Ministerium wird ermächtigt, im Einvernehmen mit den fachlich betroffenen Ressorts durch Rechtsverordnung eine Spielordnung zu erlassen. In ihr ist zu bestimmen,</w:t>
      </w:r>
    </w:p>
    <w:p>
      <w:r>
        <w:t xml:space="preserve">welchen Personen die Teilnahme am Spiel nicht gestattet ist,</w:t>
      </w:r>
    </w:p>
    <w:p>
      <w:r>
        <w:t xml:space="preserve">welche allgemeinen Zutrittsvoraussetzungen für den Spielbankbesuch bestehen, insbesondere, dass sich die Besuchenden auszuweisen und welche Personalien sie anzugeben haben,</w:t>
      </w:r>
    </w:p>
    <w:p>
      <w:r>
        <w:t xml:space="preserve">welche Spiele gespielt werden dürfen,</w:t>
      </w:r>
    </w:p>
    <w:p>
      <w:r>
        <w:t xml:space="preserve">wie und in welcher Höhe (Mindest- und Höchstbeträge) die Spieleinsätze zu erbringen sind,</w:t>
      </w:r>
    </w:p>
    <w:p>
      <w:r>
        <w:t xml:space="preserve">wie Spielmarken kontrolliert werden,</w:t>
      </w:r>
    </w:p>
    <w:p>
      <w:r>
        <w:t xml:space="preserve">wie Gewinne festgestellt und ausgezahlt werden,</w:t>
      </w:r>
    </w:p>
    <w:p>
      <w:r>
        <w:t xml:space="preserve">zu welchen Zeiten nicht gespielt werden darf,</w:t>
      </w:r>
    </w:p>
    <w:p>
      <w:r>
        <w:t xml:space="preserve">wie die Datenerfassung zu erfolgen hat und welche Daten in der Besucherdatei zu speichern sind.</w:t>
      </w:r>
    </w:p>
    <w:p>
      <w:r>
        <w:t xml:space="preserve">(2) Die Spielordnung ist in den Spielsälen deutlich sichtbar auszuhängen.</w:t>
      </w:r>
    </w:p>
    <w:p>
      <w:r>
        <w:t xml:space="preserve">(3) Die Absätze 1 und 2 gelten entsprechend für das Online-Casino-Angebot.</w:t>
      </w:r>
    </w:p>
    <w:p>
      <w:r>
        <w:rPr>
          <w:color w:val="555555"/>
          <w:sz w:val="17"/>
        </w:rPr>
        <w:t xml:space="preserve">Zitiervorschlag: § 10 SpielbG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