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SpielbG NRW (Nordrhein-Westfalen) — Inkrafttreten, Außerkrafttreten</w:t>
      </w:r>
    </w:p>
    <w:p>
      <w:r>
        <w:rPr>
          <w:color w:val="555555"/>
          <w:sz w:val="18"/>
        </w:rPr>
        <w:t xml:space="preserve">Spielbankgesetz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Gleichzeitig tritt das Spielbankgesetz NRW vom 13. November 2012 (GV. NRW. S. 524), das zuletzt durch Artikel 3 des Gesetzes vom 18. Dezember 2018 (GV. NRW. S. 803) geändert worden ist, außer Kraft.</w:t>
      </w:r>
    </w:p>
    <w:p>
      <w:r>
        <w:t xml:space="preserve">(3) Im Jahr des Inkrafttretens dieses Gesetzes wird die Gewinnabgabe nach § 21 dieses Gesetzes für das gesamte Kalenderjahr erhoben. Die Regelung zur Gewinnabschöpfung nach § 14 des Spielbankgesetzes NRW kommt nicht mehr zur Anwendung.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für Wirtschaft, Innovation, Digitalisierung und Energie</w:t>
      </w:r>
    </w:p>
    <w:p>
      <w:r>
        <w:t xml:space="preserve">Der Minister für Arbeit, Gesundheit und Soziales</w:t>
      </w:r>
    </w:p>
    <w:p>
      <w:r>
        <w:t xml:space="preserve">Die Ministerin für Schule und Bildung</w:t>
      </w:r>
    </w:p>
    <w:p>
      <w:r>
        <w:t xml:space="preserve">Die Ministerin für Heimat, Kommunales, Bau und Gleichstellung</w:t>
      </w:r>
    </w:p>
    <w:p>
      <w:r>
        <w:t xml:space="preserve">Der Minister der Justiz</w:t>
      </w:r>
    </w:p>
    <w:p>
      <w:r>
        <w:t xml:space="preserve">Der Minister für Verkehr</w:t>
      </w:r>
    </w:p>
    <w:p>
      <w:r>
        <w:t xml:space="preserve">Die Ministerin für Umwelt, Landwirtschaft, Natur- und Verbraucherschutz</w:t>
      </w:r>
    </w:p>
    <w:p>
      <w:r>
        <w:t xml:space="preserve">Zugleich für den Minister für Bundes- und Europaangelegenheiten sowie Internationales</w:t>
      </w:r>
    </w:p>
    <w:p>
      <w:r>
        <w:t xml:space="preserve">Die Ministerin für Kultur und Wissenschaft</w:t>
      </w:r>
    </w:p>
    <w:p>
      <w:r>
        <w:rPr>
          <w:color w:val="555555"/>
          <w:sz w:val="17"/>
        </w:rPr>
        <w:t xml:space="preserve">Zitiervorschlag: § 35 SpielbG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https://recht.nulegal.eu/gesetze/SpielbG%20NRW/35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SpielbG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