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SpielbG NRW (Nordrhein-Westfalen) — Gewinnabgabe</w:t>
      </w:r>
    </w:p>
    <w:p>
      <w:r>
        <w:rPr>
          <w:color w:val="555555"/>
          <w:sz w:val="18"/>
        </w:rPr>
        <w:t xml:space="preserve">Spielbankgesetz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Neben der Spielbankabgabe nach § 19 und den zusätzlichen Leistungen nach § 20 unterliegt der Betrieb einer Spielbank der Gewinnabgabe. Die Gewinnabgabe beträgt 35 Prozent der nach Absatz 2 ermittelten kumulierten positiven und negativen Bemessungsgrundlagen aller Spielbankunternehmen der Konzessionsinhaberin oder des Konzessionsinhabers im Geltungsbereich dieses Gesetzes. Die Gewinnabgabe darf die Bemessungsgrundlagen oder deren Saldo nicht mindern.</w:t>
      </w:r>
    </w:p>
    <w:p>
      <w:r>
        <w:t xml:space="preserve">(2) Die Bemessungsgrundlage ist der steuerliche Gewinn des Spielbankunternehmens nach den allgemeinen steuerlichen Vorschriften. Bei der Berechnung der Bemessungsgrundlage ist der vortragsfähige Fehlbetrag der Vorjahre nach Absatz 3 abzuziehen.</w:t>
      </w:r>
    </w:p>
    <w:p>
      <w:r>
        <w:t xml:space="preserve">(3) Ist der Saldo der nach Absatz 2 ermittelten Bemessungsgrundlagen aller Spielbankunternehmen der Konzessionsinhaberin oder des Konzessionsinhabers negativ, ist dieser als vortragsfähiger Fehlbetrag gesondert festzustellen. Die gesonderte Feststellung gilt für die nachfolgende Feststellung als Grundlagenbescheid im Sinne des § 171 Absatz 10 der Abgabenordnung. Der festgestellte vortragsfähige Fehlbetrag der Vorjahre erhöht sich jeweils um Fehlbeträge im Sinne des Satzes 1. Fehlbeträge, die nach Absatz 4 Nummer 1 abgezogen wurden, sind von dem festzustellenden Betrag abzusetzen. Fehlbeträge, die nach Absatz 2 Satz 2 abgezogen wurden, sind von dem festzustellenden Betrag abzusetzen.</w:t>
      </w:r>
    </w:p>
    <w:p>
      <w:r>
        <w:t xml:space="preserve">(4) Schuldnerin oder Schuldner der Gewinnabgabe ist die Konzessionsinhaberin oder der Konzessionsinhaber.</w:t>
      </w:r>
    </w:p>
    <w:p>
      <w:r>
        <w:rPr>
          <w:color w:val="555555"/>
          <w:sz w:val="17"/>
        </w:rPr>
        <w:t xml:space="preserve">Zitiervorschlag: § 21 SpielbG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https://recht.nulegal.eu/gesetze/SpielbG%20NRW/21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