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SpielantV (Brandenburg)</w:t>
      </w:r>
    </w:p>
    <w:p>
      <w:r>
        <w:rPr>
          <w:color w:val="555555"/>
          <w:sz w:val="18"/>
        </w:rPr>
        <w:t xml:space="preserve">Spielbankabgabenanteilverordnung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§ 1 ist erstmals für den Kalendermonat anzuwenden, in dem mit dem Spielbetrieb begonnen wurde.</w:t>
      </w:r>
    </w:p>
    <w:p>
      <w:r>
        <w:t xml:space="preserve">(2) Diese Verordnung tritt am Tage nach der Verkündung in Kraft.</w:t>
      </w:r>
    </w:p>
    <w:p>
      <w:r>
        <w:t xml:space="preserve">Potsdam, den 22. Oktober 1998</w:t>
      </w:r>
    </w:p>
    <w:p>
      <w:r>
        <w:t xml:space="preserve">Der Minister des Innern</w:t>
      </w:r>
    </w:p>
    <w:p>
      <w:r>
        <w:t xml:space="preserve">Alwin Ziel</w:t>
      </w:r>
    </w:p>
    <w:p>
      <w:r>
        <w:rPr>
          <w:color w:val="555555"/>
          <w:sz w:val="17"/>
        </w:rPr>
        <w:t xml:space="preserve">Zitiervorschlag: § 2 SpielantV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https://recht.nulegal.eu/gesetze/SpielantV/2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