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SpielV</w:t>
      </w:r>
    </w:p>
    <w:p>
      <w:r>
        <w:rPr>
          <w:color w:val="555555"/>
          <w:sz w:val="18"/>
        </w:rPr>
        <w:t xml:space="preserve">Spielverordnung</w:t>
      </w:r>
    </w:p>
    <w:p>
      <w:r>
        <w:rPr>
          <w:color w:val="555555"/>
          <w:sz w:val="18"/>
        </w:rPr>
        <w:t xml:space="preserve">Stand: 10.06.2019 (konsolidierte Textfassung, kein amtliches Inkrafttretensdatum)</w:t>
      </w:r>
    </w:p>
    <w:p>
      <w:r>
        <w:t xml:space="preserve">(1) Der Aufsteller eines Spielgerätes oder der Veranstalter eines anderen Spieles darf am Spiel nicht teilnehmen, andere Personen nicht beauftragen, an dem Spiel teilzunehmen, und nicht gestatten oder dulden, dass in seinem Unternehmen Beschäftigte an dem Spiel teilnehmen, soweit nicht im Zulassungsschein oder in der Unbedenklichkeitsbescheinigung Ausnahmen zugelassen sind. Insbesondere darf der jeweilige Zustand eines Gerätes, vor allem die Gewinnaussicht, nicht durch vorherige Einsätze oder andere Maßnahmen vor dem Spiel verändert werden.</w:t>
      </w:r>
    </w:p>
    <w:p>
      <w:r>
        <w:t xml:space="preserve">(2) Der Veranstalter eines anderen Spieles darf zum Zweck des Spieles keinen Kredit gewähren oder durch Beauftragte gewähren lassen und nicht zulassen, dass in seinem Unternehmen Beschäftigte solche Kredite gewähren.</w:t>
      </w:r>
    </w:p>
    <w:p>
      <w:r>
        <w:rPr>
          <w:color w:val="555555"/>
          <w:sz w:val="17"/>
        </w:rPr>
        <w:t xml:space="preserve">Zitiervorschlag: § 8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