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SpielV</w:t>
      </w:r>
    </w:p>
    <w:p>
      <w:r>
        <w:rPr>
          <w:color w:val="555555"/>
          <w:sz w:val="18"/>
        </w:rPr>
        <w:t xml:space="preserve">Spielverordnung</w:t>
      </w:r>
    </w:p>
    <w:p>
      <w:r>
        <w:rPr>
          <w:color w:val="555555"/>
          <w:sz w:val="18"/>
        </w:rPr>
        <w:t xml:space="preserve">Stand: 10.06.2019 (konsolidierte Textfassung, kein amtliches Inkrafttretensdatum)</w:t>
      </w:r>
    </w:p>
    <w:p>
      <w:r>
        <w:t xml:space="preserve">(1) Der Aufsteller darf nur Geld- oder Warenspielgeräte aufstellen, an denen das Zulassungszeichen deutlich sichtbar angebracht ist. Der Aufsteller ist verpflichtet, dafür zu sorgen, dass Spielregeln und Gewinnplan für Spieler leicht zugänglich sind.</w:t>
      </w:r>
    </w:p>
    <w:p>
      <w:r>
        <w:t xml:space="preserve">(2) Der Veranstalter eines anderen Spieles ist verpflichtet, am Veranstaltungsort die Spielregeln und den Gewinnplan deutlich sichtbar anzubringen. Er hat dort die Unbedenklichkeitsbescheinigung oder den Abdruck der Unbedenklichkeitsbescheinigung und den Erlaubnisbescheid zur Einsichtnahme bereitzuhalten.</w:t>
      </w:r>
    </w:p>
    <w:p>
      <w:r>
        <w:t xml:space="preserve">(3) Der Aufsteller eines Spielgerätes oder der Veranstalter eines anderen Spieles darf Gegenstände, die nicht als Gewinne ausgesetzt sind, nicht so aufstellen, dass sie dem Spieler als Gewinne erscheinen können. Lebende Tiere dürfen nicht als Gewinn ausgesetzt werden.</w:t>
      </w:r>
    </w:p>
    <w:p>
      <w:r>
        <w:t xml:space="preserve">(4) Der Hersteller hat sicherzustellen, dass an Geldspielgeräten in der Nähe des Münzeinwurfs deutlich sichtbare, sich auf das übermäßige Spielen und auf den Jugendschutz beziehende Warnhinweise sowie Hinweise auf Beratungsmöglichkeiten bei pathologischem Spielverhalten angebracht sind. Der Aufsteller hat sicherzustellen, dass in einer Spielhalle Informationsmaterial über Risiken des übermäßigen Spielens sichtbar ausliegt.</w:t>
      </w:r>
    </w:p>
    <w:p>
      <w:r>
        <w:t xml:space="preserve">(5) Der Aufsteller von Spielgeräten, deren Bauart die Anforderungen des § 13 Nummer 10 erfüllen, ist verpflichtet, dafür zu sorgen, dass jedem Spieler vor Aufnahme des Spielbetriebs an einem solchen Gerät und nach Prüfung seiner Spielberechtigung ein gerätegebundenes, personenungebundenes Identifikationsmittel ausgehändigt wird. Er hat dafür zu sorgen, dass jedem Spieler nicht mehr als ein Identifikationsmittel ausgehändigt wird. Er hat weiterhin dafür Sorge zu tragen, dass der Verlust wiederverwendbarer Identifikationsmittel vermieden wird, und dass der Spieler ein wiederverwendbares Identifikationsmittel nach Beendigung des Spielbetriebs unverzüglich zurückgibt.</w:t>
      </w:r>
    </w:p>
    <w:p>
      <w:r>
        <w:rPr>
          <w:color w:val="555555"/>
          <w:sz w:val="17"/>
        </w:rPr>
        <w:t xml:space="preserve">Zitiervorschlag: § 6 SpielV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