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SpielV</w:t>
      </w:r>
    </w:p>
    <w:p>
      <w:r>
        <w:rPr>
          <w:color w:val="555555"/>
          <w:sz w:val="18"/>
        </w:rPr>
        <w:t xml:space="preserve">Spielverordnung</w:t>
      </w:r>
    </w:p>
    <w:p>
      <w:r>
        <w:rPr>
          <w:color w:val="555555"/>
          <w:sz w:val="18"/>
        </w:rPr>
        <w:t xml:space="preserve">Stand: 10.06.2019 (konsolidierte Textfassung, kein amtliches Inkrafttretensdatum)</w:t>
      </w:r>
    </w:p>
    <w:p>
      <w:r>
        <w:t xml:space="preserve">Die Erlaubnis für die Veranstaltung eines anderen Spieles im Sinne des § 33d Abs. 1 Satz 1 der Gewerbeordnung (anderes Spiel), bei dem der Gewinn in Geld besteht, darf nur erteilt werden, wenn das Spiel in Spielhallen oder ähnlichen Unternehmen veranstaltet werden soll. In einer Spielhalle oder einem ähnlichen Unternehmen dürfen höchstens drei andere Spiele veranstaltet werden.</w:t>
      </w:r>
    </w:p>
    <w:p>
      <w:r>
        <w:rPr>
          <w:color w:val="555555"/>
          <w:sz w:val="17"/>
        </w:rPr>
        <w:t xml:space="preserve">Zitiervorschlag: § 4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