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SpielV</w:t>
      </w:r>
    </w:p>
    <w:p>
      <w:r>
        <w:rPr>
          <w:color w:val="555555"/>
          <w:sz w:val="18"/>
        </w:rPr>
        <w:t xml:space="preserve">Spielverordnung</w:t>
      </w:r>
    </w:p>
    <w:p>
      <w:r>
        <w:rPr>
          <w:color w:val="555555"/>
          <w:sz w:val="18"/>
        </w:rPr>
        <w:t xml:space="preserve">Stand: 16.11.2019 (konsolidierte Textfassung, kein amtliches Inkrafttretensdatum)</w:t>
      </w:r>
    </w:p>
    <w:p>
      <w:r>
        <w:t xml:space="preserve">(1) In Schankwirtschaften, Speisewirtschaften, Beherbergungsbetrieben, Wettannahmestellen der konzessionierten Buchmacher nach § 2 des Rennwett- und Lotteriegesetzes sowie in Spielhallen oder ähnlichen Unternehmen, in denen alkoholische Getränke zum Verzehr an Ort und Stelle verabreicht werden, dürfen höchstens zwei Geld- oder Warenspielgeräte aufgestellt werden. Bei Geld- oder Warenspielgeräten mit mehreren Spielstellen (Mehrplatzspielgeräte) gilt jede Spielstelle als Geld- oder Warenspielgerät nach Satz 1. Der Gewerbetreibende hat bei den aufgestellten Geräten durch ständige Aufsicht und durch zusätzliche technische Sicherungsmaßnahmen an den Geräten die Einhaltung von § 6 Absatz 2 des Jugendschutzgesetzes sicherzustellen. Die Zahl der Warenspielgeräte, die auf Volksfesten, Schützenfesten oder ähnlichen Veranstaltungen, Jahrmärkten oder Spezialmärkten aufgestellt werden dürfen, ist nicht beschränkt.</w:t>
      </w:r>
    </w:p>
    <w:p>
      <w:r>
        <w:t xml:space="preserve">(2) In Spielhallen oder ähnlichen Unternehmen darf je 12 Quadratmeter Grundfläche höchstens ein Geld- oder Warenspielgerät aufgestellt werden; die Gesamtzahl darf jedoch zwölf Geräte nicht übersteigen. Absatz 1 Satz 2 ist entsprechend anzuwenden. Der Aufsteller hat die Geräte einzeln oder in einer Gruppe mit jeweils höchstens zwei Geräten in einem Abstand von mindestens 1 Meter aufzustellen, getrennt durch eine Sichtblende in einer Tiefe von mindestens 0,80 Meter, gemessen von der Gerätefront in Höhe mindestens der Geräteoberkante. Bei der Berechnung der Grundfläche bleiben Nebenräume wie Abstellräume, Flure, Toiletten, Vorräume und Treppen außer Ansatz.</w:t>
      </w:r>
    </w:p>
    <w:p>
      <w:r>
        <w:t xml:space="preserve">(3) (weggefallen)</w:t>
      </w:r>
    </w:p>
    <w:p>
      <w:r>
        <w:rPr>
          <w:color w:val="555555"/>
          <w:sz w:val="17"/>
        </w:rPr>
        <w:t xml:space="preserve">Zitiervorschlag: § 3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