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Geldspielgeräte, deren Bauart von der Physikalisch-Technischen Bundesanstalt vor dem 1. Juli 2008 zugelassen worden ist und die nicht den ab dem 11. November 2014 geltenden Vorgaben des § 12 Absatz 2 Satz 1 Nummer 2 und des § 13 Nummer 6 Satz 2, letztere im Hinblick auf das neu eingeführte Verbot von Spielvorgängen und Animationen während der Spielpause, entsprechen, dürfen nicht weiter betrieben werden.</w:t>
      </w:r>
    </w:p>
    <w:p>
      <w:r>
        <w:t xml:space="preserve">(2) Im Übrigen dürfen Geldspielgeräte, deren Bauart von der Physikalisch-Technischen Bundesanstalt vor dem 10. November 2014 zugelassen worden ist, entsprechend dem Inhalt des Zulassungsbelegs bis zum 10. November 2018 weiter betrieben werden.</w:t>
      </w:r>
    </w:p>
    <w:p>
      <w:r>
        <w:t xml:space="preserve">(3) Die Auswirkungen der Änderung der Spielverordnung auf das Entstehen von Glücksspielsucht und eine wirksame Suchtbekämpfung sind unter Mitwirkung der Länder und des Fachbeirats (§ 10 Absatz 1 Satz 2 des Staatsvertrags zum Glücksspielwesen in Deutschland – Glücksspielstaatsvertrag) zu evaluieren. Ein zusammenfassender Bericht ist bis zum 30. Juni 2017 vorzulegen.</w:t>
      </w:r>
    </w:p>
    <w:p>
      <w:r>
        <w:rPr>
          <w:color w:val="555555"/>
          <w:sz w:val="17"/>
        </w:rPr>
        <w:t xml:space="preserve">Zitiervorschlag: § 20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