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Spielgerät, bei dem der Gewinn in Waren besteht (Warenspielgerät), darf nur aufgestellt werden</w:t>
      </w:r>
    </w:p>
    <w:p>
      <w:pPr>
        <w:ind w:left="420"/>
      </w:pPr>
      <w:r>
        <w:t xml:space="preserve">1. in Räumen von Schank- oder Speisewirtschaften, in denen Getränke oder zubereitete Speisen zum Verzehr an Ort und Stelle verabreicht werden, oder in Beherbergungsbetrieben mit Ausnahme der in § 1 Abs. 2 Nr. 2 und 3 genannten Betriebe,</w:t>
      </w:r>
    </w:p>
    <w:p>
      <w:pPr>
        <w:ind w:left="420"/>
      </w:pPr>
      <w:r>
        <w:t xml:space="preserve">2. in Spielhallen oder ähnlichen Unternehmen,</w:t>
      </w:r>
    </w:p>
    <w:p>
      <w:pPr>
        <w:ind w:left="420"/>
      </w:pPr>
      <w:r>
        <w:t xml:space="preserve">3. in Wettannahmestellen der konzessionierten Buchmacher nach § 2 des Rennwett- und Lotteriegesetzes, es sei denn, in der Wettannahmestelle werden Sportwetten vermittelt, oder</w:t>
      </w:r>
    </w:p>
    <w:p>
      <w:pPr>
        <w:ind w:left="420"/>
      </w:pPr>
      <w:r>
        <w:t xml:space="preserve">4. auf Volksfesten, Schützenfesten oder ähnlichen Veranstaltungen, Jahrmärkten oder Spezialmärkten.</w:t>
      </w:r>
    </w:p>
    <w:p>
      <w:r>
        <w:rPr>
          <w:color w:val="555555"/>
          <w:sz w:val="17"/>
        </w:rPr>
        <w:t xml:space="preserve">Zitiervorschlag: § 2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