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SpielV</w:t>
      </w:r>
    </w:p>
    <w:p>
      <w:r>
        <w:rPr>
          <w:color w:val="555555"/>
          <w:sz w:val="18"/>
        </w:rPr>
        <w:t xml:space="preserve">Spielverordnung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Physikalisch-Technische Bundesanstalt darf die Bauart eines Warenspielgerätes nur zulassen, wenn folgende Anforderungen erfüllt sind:</w:t>
      </w:r>
    </w:p>
    <w:p>
      <w:pPr>
        <w:ind w:left="420"/>
      </w:pPr>
      <w:r>
        <w:t xml:space="preserve">1. Die Bauart muss den in § 13 Nr. 3, 6, 7, 8 und 9 bezeichneten Anforderungen entsprechen, wobei sich in § 13 Nr. 3 die Summe der Verluste allein aus der Summe der Einsätze ergibt und nach § 13 Nr. 8 nur sämtliche Einsätze zeitgerecht, unmittelbar und auslesbar zu erfassen sind.</w:t>
      </w:r>
    </w:p>
    <w:p>
      <w:pPr>
        <w:ind w:left="420"/>
      </w:pPr>
      <w:r>
        <w:t xml:space="preserve">2. In den Fällen des § 2 Nr. 1 bis 3 gilt § 13 Nr. 1 und 2 entsprechend.</w:t>
      </w:r>
    </w:p>
    <w:p>
      <w:pPr>
        <w:ind w:left="420"/>
      </w:pPr>
      <w:r>
        <w:t xml:space="preserve">3. Die Entscheidung über Gewinn oder Verlust darf nicht von der Teilnahme an weiteren Spielen abhängig sein.</w:t>
      </w:r>
    </w:p>
    <w:p>
      <w:r>
        <w:t xml:space="preserve">(2) § 12 Abs. 2 Nummer 2 gilt entsprechend.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14 SpielV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