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 SpielV</w:t>
      </w:r>
    </w:p>
    <w:p>
      <w:r>
        <w:rPr>
          <w:color w:val="555555"/>
          <w:sz w:val="18"/>
        </w:rPr>
        <w:t xml:space="preserve">Spielverordnung</w:t>
      </w:r>
    </w:p>
    <w:p>
      <w:r>
        <w:rPr>
          <w:color w:val="555555"/>
          <w:sz w:val="18"/>
        </w:rPr>
        <w:t xml:space="preserve">Stand: 10.06.2019 (konsolidierte Textfassung, kein amtliches Inkrafttretensdatum)</w:t>
      </w:r>
    </w:p>
    <w:p>
      <w:r>
        <w:t xml:space="preserve">Die Physikalisch-Technische Bundesanstalt darf die Bauart eines Geldspielgerätes nur zulassen, wenn folgende Anforderungen erfüllt sind:</w:t>
      </w:r>
    </w:p>
    <w:p>
      <w:pPr>
        <w:ind w:left="420"/>
      </w:pPr>
      <w:r>
        <w:t xml:space="preserve">1. Der Spieleinsatz darf nur in Euro oder Cent erfolgen; ein Spiel beginnt mit dem Einsatz des Geldes, setzt sich mit der Bekanntgabe des Spielergebnisses fort und endet mit der Auszahlung des Gewinns beziehungsweise der Einstreichung des Einsatzes.</w:t>
      </w:r>
    </w:p>
    <w:p>
      <w:pPr>
        <w:ind w:left="420"/>
      </w:pPr>
      <w:r>
        <w:t xml:space="preserve">2. Die Mindestspieldauer beträgt fünf Sekunden; dabei darf der Einsatz 0,20 Euro nicht übersteigen und der Gewinn höchstens 2 Euro betragen.</w:t>
      </w:r>
    </w:p>
    <w:p>
      <w:pPr>
        <w:ind w:left="420"/>
      </w:pPr>
      <w:r>
        <w:t xml:space="preserve">3. Bei einer Verlängerung des Abstandes zwischen zwei Einsatzleistungen über fünf Sekunden hinaus bis zu einer Obergrenze von 75 Sekunden darf der Einsatz um höchstens 0,03 Euro je volle Sekunde erhöht werden; bei einer Verlängerung des Abstandes zwischen zwei Gewinnauszahlungen über fünf Sekunden hinaus bis zu einer Obergrenze von 75 Sekunden darf der Gewinn um höchstens 0,30 Euro je volle Sekunde erhöht werden. Darüber hinausgehende Erhöhungen von Einsatz und Gewinn sind ausgeschlossen.</w:t>
      </w:r>
    </w:p>
    <w:p>
      <w:pPr>
        <w:ind w:left="420"/>
      </w:pPr>
      <w:r>
        <w:t xml:space="preserve">4. Die Summe der Verluste (Einsätze abzüglich Gewinne) darf im Verlauf einer Stunde 60 Euro nicht übersteigen.</w:t>
      </w:r>
    </w:p>
    <w:p>
      <w:pPr>
        <w:ind w:left="420"/>
      </w:pPr>
      <w:r>
        <w:t xml:space="preserve">5. Die Summe der Gewinne abzüglich der Einsätze darf im Verlauf einer Stunde 400 Euro nicht übersteigen. Jackpots und andere Sonderzahlungen jeder Art sind ausgeschlossen.</w:t>
      </w:r>
    </w:p>
    <w:p>
      <w:pPr>
        <w:ind w:left="420"/>
      </w:pPr>
      <w:r>
        <w:t xml:space="preserve">6. Nach einer Stunde Spielbetrieb legt das Spielgerät eine Spielpause von mindestens fünf Minuten ein, in der keine Einsätze angenommen und Gewinne gewährt werden. In der Pause dürfen keine Spielvorgänge, einsatz- und gewinnfreie Probe- oder Demonstrationsspiele oder sonstige Animationen angeboten werden.</w:t>
      </w:r>
    </w:p>
    <w:p>
      <w:pPr>
        <w:ind w:left="420"/>
      </w:pPr>
      <w:r>
        <w:t xml:space="preserve">6a. Nach drei Stunden Spielbetrieb legt das Spielgerät eine Spielpause ein, in der es für mindestens fünf Minuten in den Ruhezustand versetzt wird; zu Beginn des Ruhezustandes sind die Geldspeicher zu entleeren und alle Anzeigeelemente auf die vordefinierten Anfangswerte zu setzen.</w:t>
      </w:r>
    </w:p>
    <w:p>
      <w:pPr>
        <w:ind w:left="420"/>
      </w:pPr>
      <w:r>
        <w:t xml:space="preserve">7. Die Speicherung von Geldbeträgen in Einsatz- und Gewinnspeichern ist bei Geldannahme vom Spieler in der Summe auf 10 Euro begrenzt. Höhere Beträge werden unmittelbar nach der Aufbuchung automatisch ausgezahlt. Eine Bedienvorrichtung für den Spieler, mit der er vorab einstellen kann, dass aufgebuchte Beträge unbeeinflusst zum Einsatz gelangen, ist unzulässig. Jeder Einsatz darf nur durch unmittelbar zuvor erfolgte gesonderte physische Betätigung des Spielers ausgelöst werden. Es gibt eine nicht sperrbare Bedienvorrichtung zur Auszahlung, mit der der Spieler uneingeschränkt über die aufgebuchten Beträge, die in der Summe größer oder gleich dem Höchsteinsatz gemäß Nummer 1 sind, verfügen kann.</w:t>
      </w:r>
    </w:p>
    <w:p>
      <w:pPr>
        <w:ind w:left="420"/>
      </w:pPr>
      <w:r>
        <w:t xml:space="preserve">8. Der Spielbetrieb darf nur mit auf Euro lautenden Münzen und Banknoten und nur unmittelbar am Spielgerät erfolgen.</w:t>
      </w:r>
    </w:p>
    <w:p>
      <w:pPr>
        <w:ind w:left="420"/>
      </w:pPr>
      <w:r>
        <w:t xml:space="preserve">8a. Bei Mehrplatzspielgeräten müssen die einzelnen Spielstellen unabhängig voneinander benutzbar sein und jede Spielstelle hat die Anforderungen der §§ 12 und 13 zu erfüllen, soweit diese landesrechtlich überhaupt zulässig sind; aus der Bauartzulassung eines Mehrplatzspielgerätes folgt kein Anspruch auf die Aufstellung des Mehrplatzspielgerätes.</w:t>
      </w:r>
    </w:p>
    <w:p>
      <w:pPr>
        <w:ind w:left="420"/>
      </w:pPr>
      <w:r>
        <w:t xml:space="preserve">8b. Mehrplatzspielgeräte dürfen über höchstens vier Spielstellen verfügen, einzelne Spielstellen dürfen nicht abstellbar sein.</w:t>
      </w:r>
    </w:p>
    <w:p>
      <w:pPr>
        <w:ind w:left="420"/>
      </w:pPr>
      <w:r>
        <w:t xml:space="preserve">9. Das Spielgerät beinhaltet eine Kontrolleinrichtung, die sämtliche Einsätze, Gewinne und den Kasseninhalt zeitgerecht, unmittelbar und auslesbar erfasst. Die Kontrolleinrichtung gewährleistet die in den Nummern 1 bis 5 Satz 1 und Nummer 6a aufgeführten Begrenzungen.</w:t>
      </w:r>
    </w:p>
    <w:p>
      <w:pPr>
        <w:ind w:left="420"/>
      </w:pPr>
      <w:r>
        <w:t xml:space="preserve">9a. Das Spielgerät zeichnet nach dem Stand der Technik die von der Kontrolleinrichtung gemäß Nummer 8 erfassten Daten dauerhaft so auf, dass</w:t>
      </w:r>
    </w:p>
    <w:p>
      <w:pPr>
        <w:ind w:left="780"/>
      </w:pPr>
      <w:r>
        <w:t xml:space="preserve">a) sie jederzeit elektronisch verfügbar, lesbar und auswertbar sind,</w:t>
      </w:r>
    </w:p>
    <w:p>
      <w:pPr>
        <w:ind w:left="780"/>
      </w:pPr>
      <w:r>
        <w:t xml:space="preserve">b) sie auf das erzeugende Spielgerät zurückgeführt werden können,</w:t>
      </w:r>
    </w:p>
    <w:p>
      <w:pPr>
        <w:ind w:left="780"/>
      </w:pPr>
      <w:r>
        <w:t xml:space="preserve">c) die einzelnen Daten mit dem Zeitpunkt ihrer Entstehung verknüpft sind,</w:t>
      </w:r>
    </w:p>
    <w:p>
      <w:pPr>
        <w:ind w:left="780"/>
      </w:pPr>
      <w:r>
        <w:t xml:space="preserve">d) ihre Vollständigkeit erkennbar ist und</w:t>
      </w:r>
    </w:p>
    <w:p>
      <w:pPr>
        <w:ind w:left="780"/>
      </w:pPr>
      <w:r>
        <w:t xml:space="preserve">e) feststellbar ist, ob nachträglich Veränderungen vorgenommen worden sind.</w:t>
      </w:r>
    </w:p>
    <w:p>
      <w:pPr>
        <w:ind w:left="420"/>
      </w:pPr>
      <w:r>
        <w:t xml:space="preserve">10. Der Spielbetrieb darf nur bei ständiger Verwendung eines gültigen gerätegebundenen, personenungebundenen Identifikationsmittels möglich sein, wobei</w:t>
      </w:r>
    </w:p>
    <w:p>
      <w:pPr>
        <w:ind w:left="780"/>
      </w:pPr>
      <w:r>
        <w:t xml:space="preserve">a) die Gültigkeit des verwendeten Identifikationsmittels durch das Spielgerät vor Aufnahme des Spielbetriebs geprüft werden muss und</w:t>
      </w:r>
    </w:p>
    <w:p>
      <w:pPr>
        <w:ind w:left="780"/>
      </w:pPr>
      <w:r>
        <w:t xml:space="preserve">b) während des Spielbetriebs keine Daten auf dem verwendeten Identifikationsmittel gespeichert werden dürfen.</w:t>
      </w:r>
    </w:p>
    <w:p>
      <w:pPr>
        <w:ind w:left="420"/>
      </w:pPr>
      <w:r>
        <w:t xml:space="preserve">11. Das Spielgerät und seine Komponenten müssen der Funktion entsprechend nach Maßgabe des Standes der Technik zuverlässig und gegen Veränderungen gesichert gebaut sein.</w:t>
      </w:r>
    </w:p>
    <w:p>
      <w:pPr>
        <w:ind w:left="420"/>
      </w:pPr>
      <w:r>
        <w:t xml:space="preserve">12. Das Spielgerät muss so gebaut sein, dass die Übereinstimmung der Nachbaugeräte mit der zugelassenen Bauart überprüft werden kann.</w:t>
      </w:r>
    </w:p>
    <w:p>
      <w:r>
        <w:rPr>
          <w:color w:val="555555"/>
          <w:sz w:val="17"/>
        </w:rPr>
        <w:t xml:space="preserve">Zitiervorschlag: § 13 SpielV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https://recht.nulegal.eu/gesetze/SpielV/13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