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SpielV</w:t>
      </w:r>
    </w:p>
    <w:p>
      <w:r>
        <w:rPr>
          <w:color w:val="555555"/>
          <w:sz w:val="18"/>
        </w:rPr>
        <w:t xml:space="preserve">Spielverordnung</w:t>
      </w:r>
    </w:p>
    <w:p>
      <w:r>
        <w:rPr>
          <w:color w:val="555555"/>
          <w:sz w:val="18"/>
        </w:rPr>
        <w:t xml:space="preserve">Stand: 10.06.2019 (konsolidierte Textfassung, kein amtliches Inkrafttretensdatum)</w:t>
      </w:r>
    </w:p>
    <w:p>
      <w:r>
        <w:t xml:space="preserve">(1) Über den Antrag auf Zulassung der Bauart eines Spielgerätes im Sinne des § 33c Abs. 1 Satz 1 der Gewerbeordnung entscheidet die Physikalisch-Technische Bundesanstalt im Benehmen mit dem Bundeskriminalamt.</w:t>
      </w:r>
    </w:p>
    <w:p>
      <w:r>
        <w:t xml:space="preserve">(2) Die Zulassung der Bauart eines Spielgerätes ist auf ein Jahr befristet. Die Frist beginnt mit Ablauf des Kalendermonats, in dem die Zulassung erteilt wurde. Die Frist kann auf Antrag um jeweils ein Jahr verlängert werden.</w:t>
      </w:r>
    </w:p>
    <w:p>
      <w:r>
        <w:rPr>
          <w:color w:val="555555"/>
          <w:sz w:val="17"/>
        </w:rPr>
        <w:t xml:space="preserve">Zitiervorschlag: § 11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