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10d SpielV</w:t>
      </w:r>
    </w:p>
    <w:p>
      <w:r>
        <w:rPr>
          <w:color w:val="555555"/>
          <w:sz w:val="18"/>
        </w:rPr>
        <w:t xml:space="preserve">Spielverordnung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 Prüfungszeugnisse werden als Nachweis der Unterrichtung anerkannt:</w:t>
      </w:r>
    </w:p>
    <w:p>
      <w:pPr>
        <w:ind w:left="420"/>
      </w:pPr>
      <w:r>
        <w:t xml:space="preserve">1. für das Aufstellergewerbe einschlägige Abschlüsse, die auf Grund von Rechtsverordnungen nach den §§ 4, 6 oder 53 des Berufsbildungsgesetzes erworben wurden,</w:t>
      </w:r>
    </w:p>
    <w:p>
      <w:pPr>
        <w:ind w:left="420"/>
      </w:pPr>
      <w:r>
        <w:t xml:space="preserve">2. für das Aufstellergewerbe einschlägige Abschlüsse, die auf Grund von Rechtsverordnungen der Industrie- und Handelskammern nach § 54 des Berufsbildungsgesetzes erworben wurden.</w:t>
      </w:r>
    </w:p>
    <w:p>
      <w:r>
        <w:rPr>
          <w:color w:val="555555"/>
          <w:sz w:val="17"/>
        </w:rPr>
        <w:t xml:space="preserve">Zitiervorschlag: § 10d SpielV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https://recht.nulegal.eu/gesetze/SpielV/10d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