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10b SpielV</w:t>
      </w:r>
    </w:p>
    <w:p>
      <w:r>
        <w:rPr>
          <w:color w:val="555555"/>
          <w:sz w:val="18"/>
        </w:rPr>
        <w:t xml:space="preserve">Spielverordnung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Unterrichtung erfolgt durch die Industrie- und Handelskammer.</w:t>
      </w:r>
    </w:p>
    <w:p>
      <w:r>
        <w:t xml:space="preserve">(2) Die Unterrichtung erfolgt mündlich. Die Unterrichtung umfasst mindestens sechs Unterrichtsstunden zu je 45 Minuten. Mehrere Personen können gleichzeitig unterrichtet werden, wobei die Zahl der Unterrichtsteilnehmer 20 nicht übersteigen soll.</w:t>
      </w:r>
    </w:p>
    <w:p>
      <w:r>
        <w:t xml:space="preserve">(3) Die Industrie- und Handelskammer stellt eine Bescheinigung aus, wenn die zu unterrichtende Person am Unterricht ohne Fehlzeiten teilgenommen hat.</w:t>
      </w:r>
    </w:p>
    <w:p>
      <w:r>
        <w:rPr>
          <w:color w:val="555555"/>
          <w:sz w:val="17"/>
        </w:rPr>
        <w:t xml:space="preserve">Zitiervorschlag: § 10b SpielV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https://recht.nulegal.eu/gesetze/SpielV/10b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