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SpielV</w:t>
      </w:r>
    </w:p>
    <w:p>
      <w:r>
        <w:rPr>
          <w:color w:val="555555"/>
          <w:sz w:val="18"/>
        </w:rPr>
        <w:t xml:space="preserve">Spielverordnung</w:t>
      </w:r>
    </w:p>
    <w:p>
      <w:r>
        <w:rPr>
          <w:color w:val="555555"/>
          <w:sz w:val="18"/>
        </w:rPr>
        <w:t xml:space="preserve">Stand: 10.06.2019 (konsolidierte Textfassung, kein amtliches Inkrafttretensdatum)</w:t>
      </w:r>
    </w:p>
    <w:p>
      <w:r>
        <w:t xml:space="preserve">(1) Zweck der Unterrichtung ist es, die Aufsteller von Spielgeräten mit Gewinnmöglichkeit mit den für die Ausübung des Gewerbes notwendigen rechtlichen Vorschriften und fachspezifischen Pflichten und Befugnissen sowie deren praktischer Anwendung in einem Umfang vertraut zu machen, der ihnen die eigenverantwortliche Wahrnehmung dieser Aufgaben ermöglicht.</w:t>
      </w:r>
    </w:p>
    <w:p>
      <w:r>
        <w:t xml:space="preserve">(2) Dem Unterrichtungsverfahren haben sich zu unterziehen</w:t>
      </w:r>
    </w:p>
    <w:p>
      <w:pPr>
        <w:ind w:left="420"/>
      </w:pPr>
      <w:r>
        <w:t xml:space="preserve">1. Personen, die das Gewerbe nach § 33c Absatz 1 Satz 1 der Gewerbeordnung als Selbständige ausüben wollen, oder, sofern es sich bei diesen um eine juristische Person handelt, ihr gesetzlicher Vertreter, soweit er mit der Aufstellung von Spielgeräten mit Gewinnmöglichkeit direkt befasst ist,</w:t>
      </w:r>
    </w:p>
    <w:p>
      <w:pPr>
        <w:ind w:left="420"/>
      </w:pPr>
      <w:r>
        <w:t xml:space="preserve">2. die mit der Leitung des Gewerbebetriebes beauftragten Personen,</w:t>
      </w:r>
    </w:p>
    <w:p>
      <w:pPr>
        <w:ind w:left="420"/>
      </w:pPr>
      <w:r>
        <w:t xml:space="preserve">3. die nach § 33c Absatz 3 Satz 4 der Gewerbeordnung mit der Aufstellung von Geldspielgeräten mit Gewinnmöglichkeit beschäftigten Personen.</w:t>
      </w:r>
    </w:p>
    <w:p>
      <w:r>
        <w:rPr>
          <w:color w:val="555555"/>
          <w:sz w:val="17"/>
        </w:rPr>
        <w:t xml:space="preserve">Zitiervorschlag: § 10a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