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SpielV</w:t>
      </w:r>
    </w:p>
    <w:p>
      <w:r>
        <w:rPr>
          <w:color w:val="555555"/>
          <w:sz w:val="18"/>
        </w:rPr>
        <w:t xml:space="preserve">Spielverordnung</w:t>
      </w:r>
    </w:p>
    <w:p>
      <w:r>
        <w:rPr>
          <w:color w:val="555555"/>
          <w:sz w:val="18"/>
        </w:rPr>
        <w:t xml:space="preserve">Stand: 10.06.2019 (konsolidierte Textfassung, kein amtliches Inkrafttretensdatum)</w:t>
      </w:r>
    </w:p>
    <w:p>
      <w:r>
        <w:t xml:space="preserve">Der Veranstalter eines anderen Spieles, bei dem der Gewinn in Geld besteht, darf Kindern und Jugendlichen, ausgenommen verheirateten Jugendlichen, den Zutritt zu den Räumen, in denen das Spiel veranstaltet wird, nicht gestatten.</w:t>
      </w:r>
    </w:p>
    <w:p>
      <w:r>
        <w:rPr>
          <w:color w:val="555555"/>
          <w:sz w:val="17"/>
        </w:rPr>
        <w:t xml:space="preserve">Zitiervorschlag: § 10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