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Spielgerät, bei dem der Gewinn in Geld besteht (Geldspielgerät), darf nur aufgestellt werden in</w:t>
      </w:r>
    </w:p>
    <w:p>
      <w:pPr>
        <w:ind w:left="420"/>
      </w:pPr>
      <w:r>
        <w:t xml:space="preserve">1. Räumen von Schank- oder Speisewirtschaften, in denen Getränke oder zubereitete Speisen zum Verzehr an Ort und Stelle verabreicht werden, oder in Beherbergungsbetrieben,</w:t>
      </w:r>
    </w:p>
    <w:p>
      <w:pPr>
        <w:ind w:left="420"/>
      </w:pPr>
      <w:r>
        <w:t xml:space="preserve">2. Spielhallen oder ähnlichen Unternehmen oder</w:t>
      </w:r>
    </w:p>
    <w:p>
      <w:pPr>
        <w:ind w:left="420"/>
      </w:pPr>
      <w:r>
        <w:t xml:space="preserve">3. Wettannahmestellen der konzessionierten Buchmacher nach § 2 des Rennwett- und Lotteriegesetzes, es sei denn, in der Wettannahmestelle werden Sportwetten vermittelt.</w:t>
      </w:r>
    </w:p>
    <w:p>
      <w:r>
        <w:t xml:space="preserve">(2) Ein Geldspielgerät darf nicht aufgestellt werden in</w:t>
      </w:r>
    </w:p>
    <w:p>
      <w:pPr>
        <w:ind w:left="420"/>
      </w:pPr>
      <w:r>
        <w:t xml:space="preserve">1. Betrieben auf Volksfesten, Schützenfesten oder ähnlichen Veranstaltungen, Jahrmärkten oder Spezialmärkten,</w:t>
      </w:r>
    </w:p>
    <w:p>
      <w:pPr>
        <w:ind w:left="420"/>
      </w:pPr>
      <w:r>
        <w:t xml:space="preserve">2. Trinkhallen, Speiseeiswirtschaften, Milchstuben, Betrieben, in denen die Verabreichung von Speisen oder Getränken nur eine untergeordnete Rolle spielt,</w:t>
      </w:r>
    </w:p>
    <w:p>
      <w:pPr>
        <w:ind w:left="420"/>
      </w:pPr>
      <w:r>
        <w:t xml:space="preserve">3. Schank- oder Speisewirtschaften oder Beherbergungsbetrieben, die sich auf Sportplätzen, in Sporthallen, Tanzschulen, Badeanstalten, Sport- oder Jugendheimen oder Jugendherbergen befinden, oder in anderen Schank- oder Speisewirtschaften oder Beherbergungsbetrieben, die ihrer Art nach oder tatsächlich vorwiegend von Kindern oder Jugendlichen besucht werden oder</w:t>
      </w:r>
    </w:p>
    <w:p>
      <w:pPr>
        <w:ind w:left="420"/>
      </w:pPr>
      <w:r>
        <w:t xml:space="preserve">4. Betriebsformen, die unter Betriebe im Sinne von § 2 Absatz 2 des Gaststättengesetzes in der Fassung der Bekanntmachung vom 20. November 1998 (BGBl. I S. 3418), das zuletzt durch Artikel 10 des Gesetzes vom 7. September 2007 (BGBl. I S. 2246) geändert worden ist, fallen.</w:t>
      </w:r>
    </w:p>
    <w:p>
      <w:r>
        <w:rPr>
          <w:color w:val="555555"/>
          <w:sz w:val="17"/>
        </w:rPr>
        <w:t xml:space="preserve">Zitiervorschlag: § 1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