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SpielUBeschV</w:t>
      </w:r>
    </w:p>
    <w:p>
      <w:r>
        <w:rPr>
          <w:color w:val="555555"/>
          <w:sz w:val="18"/>
        </w:rPr>
        <w:t xml:space="preserve">Verordnung zur Erteilung von Unbedenklichkeitsbescheinigungen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Unbedenklichkeitsbescheinigung enthält</w:t>
      </w:r>
    </w:p>
    <w:p>
      <w:pPr>
        <w:ind w:left="420"/>
      </w:pPr>
      <w:r>
        <w:t xml:space="preserve">1. Bezeichnung des Spieles,</w:t>
      </w:r>
    </w:p>
    <w:p>
      <w:pPr>
        <w:ind w:left="780"/>
      </w:pPr>
      <w:r>
        <w:t xml:space="preserve">a) im Falle des § 3 Abs. 1 Nr. 1 Firmenbezeichnung und Sitz des Herstellers, b)im Falle des § 3 Abs. 1 Nr. 2 Namen, Geburtsdatum und -ort sowie Wohnort des Veranstalters,</w:t>
      </w:r>
    </w:p>
    <w:p>
      <w:pPr>
        <w:ind w:left="420"/>
      </w:pPr>
      <w:r>
        <w:t xml:space="preserve">3. Beschreibung des Spieles, des Spielablaufs und, soweit erforderlich, Abbildungen oder Übersichtszeichnungen,</w:t>
      </w:r>
    </w:p>
    <w:p>
      <w:pPr>
        <w:ind w:left="420"/>
      </w:pPr>
      <w:r>
        <w:t xml:space="preserve">4. Spielregeln und Gewinnplan,</w:t>
      </w:r>
    </w:p>
    <w:p>
      <w:pPr>
        <w:ind w:left="420"/>
      </w:pPr>
      <w:r>
        <w:t xml:space="preserve">5. Bezeichnung der Plätze, an denen das Spiel veranstaltet werden darf,</w:t>
      </w:r>
    </w:p>
    <w:p>
      <w:pPr>
        <w:ind w:left="420"/>
      </w:pPr>
      <w:r>
        <w:t xml:space="preserve">6. Angabe der Geltungsdauer,</w:t>
      </w:r>
    </w:p>
    <w:p>
      <w:pPr>
        <w:ind w:left="420"/>
      </w:pPr>
      <w:r>
        <w:t xml:space="preserve">7. etwaige Nebenbestimmungen.</w:t>
      </w:r>
    </w:p>
    <w:p>
      <w:r>
        <w:rPr>
          <w:color w:val="555555"/>
          <w:sz w:val="17"/>
        </w:rPr>
        <w:t xml:space="preserve">Zitiervorschlag: § 4 SpielUBeschV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https://recht.nulegal.eu/gesetze/SpielUBeschV/4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