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SpielUBeschV</w:t>
      </w:r>
    </w:p>
    <w:p>
      <w:r>
        <w:rPr>
          <w:color w:val="555555"/>
          <w:sz w:val="18"/>
        </w:rPr>
        <w:t xml:space="preserve">Verordnung zur Erteilung von Unbedenklichkeitsbescheinigungen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Unbedenklichkeitsbescheinigung wird erteilt</w:t>
      </w:r>
    </w:p>
    <w:p>
      <w:pPr>
        <w:ind w:left="420"/>
      </w:pPr>
      <w:r>
        <w:t xml:space="preserve">1. dem Hersteller, wenn es sich um eine Spieleinrichtung handelt, die serienmäßig gefertigt werden soll und wenn die Übereinstimmung der Nachbauten mit dem geprüften Muster sichergestellt ist,</w:t>
      </w:r>
    </w:p>
    <w:p>
      <w:pPr>
        <w:ind w:left="420"/>
      </w:pPr>
      <w:r>
        <w:t xml:space="preserve">2. in allen übrigen Fällen dem Veranstalter.</w:t>
      </w:r>
    </w:p>
    <w:p>
      <w:r>
        <w:t xml:space="preserve">(2) Für jeden Nachbau einer Spieleinrichtung nach Absatz 1 Nr. 1 erhält der Hersteller einen Abdruck der Unbedenklichkeitsbescheinigung.</w:t>
      </w:r>
    </w:p>
    <w:p>
      <w:r>
        <w:rPr>
          <w:color w:val="555555"/>
          <w:sz w:val="17"/>
        </w:rPr>
        <w:t xml:space="preserve">Zitiervorschlag: § 3 SpielUBeschV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https://recht.nulegal.eu/gesetze/SpielUBeschV/3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