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SpielOV (Brandenburg) — Feststellung und Auszahlung von Gewinnen</w:t>
      </w:r>
    </w:p>
    <w:p>
      <w:r>
        <w:rPr>
          <w:color w:val="555555"/>
          <w:sz w:val="18"/>
        </w:rPr>
        <w:t xml:space="preserve">Spielordnungsverordnung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§ 5 gilt für</w:t>
      </w:r>
    </w:p>
    <w:p>
      <w:r>
        <w:t xml:space="preserve">die Feststellung und Auszahlung von Gewinnen entsprechend.</w:t>
      </w:r>
    </w:p>
    <w:p>
      <w:r>
        <w:rPr>
          <w:color w:val="555555"/>
          <w:sz w:val="17"/>
        </w:rPr>
        <w:t xml:space="preserve">Zitiervorschlag: § 6 SpielOV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https://recht.nulegal.eu/gesetze/SpielOV/6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