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SpielOV (Brandenburg) — Kontrolle von Spielmarken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Spielmarken</w:t>
      </w:r>
    </w:p>
    <w:p>
      <w:r>
        <w:t xml:space="preserve">werden so kontrolliert, wie dies in den Spielregeln und Beschreibungen nach § 3</w:t>
      </w:r>
    </w:p>
    <w:p>
      <w:r>
        <w:t xml:space="preserve">Absatz 4 und 5 vom Spielbankunternehmer bestimmt ist.</w:t>
      </w:r>
    </w:p>
    <w:p>
      <w:r>
        <w:rPr>
          <w:color w:val="555555"/>
          <w:sz w:val="17"/>
        </w:rPr>
        <w:t xml:space="preserve">Zitiervorschlag: § 5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